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附件2</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44"/>
          <w:szCs w:val="44"/>
        </w:rPr>
      </w:pPr>
      <w:bookmarkStart w:id="0" w:name="_GoBack"/>
      <w:r>
        <w:rPr>
          <w:rFonts w:hint="eastAsia" w:ascii="宋体" w:hAnsi="宋体" w:eastAsia="宋体" w:cs="宋体"/>
          <w:b/>
          <w:kern w:val="2"/>
          <w:sz w:val="44"/>
          <w:szCs w:val="44"/>
          <w:lang w:val="en-US" w:eastAsia="zh-CN" w:bidi="ar"/>
        </w:rPr>
        <w:t>进一步改善医疗服务行动计划（2018—2020年）</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kern w:val="2"/>
          <w:sz w:val="44"/>
          <w:szCs w:val="44"/>
        </w:rPr>
      </w:pPr>
      <w:r>
        <w:rPr>
          <w:rFonts w:hint="eastAsia" w:ascii="宋体" w:hAnsi="宋体" w:eastAsia="宋体" w:cs="宋体"/>
          <w:b/>
          <w:kern w:val="2"/>
          <w:sz w:val="44"/>
          <w:szCs w:val="44"/>
          <w:lang w:val="en-US" w:eastAsia="zh-CN" w:bidi="ar"/>
        </w:rPr>
        <w:t>考核指标（卫生健康行政部门）</w:t>
      </w:r>
      <w:bookmarkEnd w:id="0"/>
    </w:p>
    <w:tbl>
      <w:tblPr>
        <w:tblStyle w:val="3"/>
        <w:tblW w:w="1407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256"/>
        <w:gridCol w:w="900"/>
        <w:gridCol w:w="1954"/>
        <w:gridCol w:w="993"/>
        <w:gridCol w:w="7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771" w:hRule="atLeast"/>
          <w:jc w:val="center"/>
        </w:trPr>
        <w:tc>
          <w:tcPr>
            <w:tcW w:w="22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一级指标</w:t>
            </w: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指标序号</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二级指标</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分数</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指标含义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预约诊疗制度</w:t>
            </w: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1</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平台预约功能</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4</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区域内信息化平台具备预约功能且覆盖超过80%的三级公立医院得满分，覆盖60%—80%的得2分，覆盖40%—59%的得1分，覆盖40%以下的不得分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vMerge w:val="restart"/>
            <w:tcBorders>
              <w:top w:val="nil"/>
              <w:left w:val="single" w:color="auto" w:sz="6" w:space="0"/>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检查检验结果互认制度</w:t>
            </w: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2</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平台信息共享功能</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4</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区域内信息化平台具备医学影像、医学检验、病理检查等资料和信息共享功能，未有不得分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2256" w:type="dxa"/>
            <w:vMerge w:val="continue"/>
            <w:tcBorders>
              <w:top w:val="nil"/>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3</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检查结果互认</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4</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医疗机构通过省级、市级等相关专业医疗质量控制合格的，在相应级别行政区域内检查检验结果实行互认，且相关医疗机构能提供执行记录得满分；有政策无记录或有记录无政策得60%分；均无不得分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vMerge w:val="restart"/>
            <w:tcBorders>
              <w:top w:val="nil"/>
              <w:left w:val="single" w:color="auto" w:sz="6" w:space="0"/>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急诊急救服务</w:t>
            </w: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4</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平台院前急救信息共享功能</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4</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区域内信息化平台具备患者信息院前急救院内共享功能，未有不得分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2256" w:type="dxa"/>
            <w:vMerge w:val="continue"/>
            <w:tcBorders>
              <w:top w:val="nil"/>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5</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救治中心建设情况</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2</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建立各种救治中心（胸痛中心、卒中中心、创伤中心、危重孕产妇救治中心、危重儿童和新生儿救治中心），建立5项得满分，建立4项得80%分，建立3项得60%分，建立2项得40%分，建立1项得20%分，未建立不得分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vMerge w:val="restart"/>
            <w:tcBorders>
              <w:top w:val="nil"/>
              <w:left w:val="single" w:color="auto" w:sz="6" w:space="0"/>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连续医疗服务</w:t>
            </w: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6</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服务体系建立情况</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2</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建立以单病种一体化临床路径为基础的连续医疗服务及质控体系满分，未有不得分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vMerge w:val="continue"/>
            <w:tcBorders>
              <w:top w:val="nil"/>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7</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平台健康档案共享功能</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3</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区域内信息化平台具备电子健康档案信息共享得满分，未有不得分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vMerge w:val="continue"/>
            <w:tcBorders>
              <w:top w:val="nil"/>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8</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平台电子病历共享功能</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3</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区域内信息化平台具备电子病历信息共享得满分，未有不得分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vMerge w:val="restart"/>
            <w:tcBorders>
              <w:top w:val="nil"/>
              <w:left w:val="single" w:color="auto" w:sz="6" w:space="0"/>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互联互通</w:t>
            </w: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9</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一卡通使用</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范围</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4</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适用范围在省级、地市级、县级、医联体内，分别得满分、80%、60%、40%分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vMerge w:val="continue"/>
            <w:tcBorders>
              <w:top w:val="nil"/>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10</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一卡通功能</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范围</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4</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功能范围包含就诊、结算、支付、查询、挂号等功能，每一种功能加1分，直至满分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vMerge w:val="restart"/>
            <w:tcBorders>
              <w:top w:val="nil"/>
              <w:left w:val="single" w:color="auto" w:sz="6" w:space="0"/>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组织实施</w:t>
            </w: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11</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规划情况</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4</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有时间表和路线图得满分；时间表/路线图有1项得60%分；均无不得分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2256" w:type="dxa"/>
            <w:vMerge w:val="continue"/>
            <w:tcBorders>
              <w:top w:val="nil"/>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12</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满意度评价</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情况</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4</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有满意度评价制度且将测评结果纳入绩效考核得满分，有评价制度无评价结果利用得60%分，无制度不得分；需提供制度和利用情况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vMerge w:val="continue"/>
            <w:tcBorders>
              <w:top w:val="nil"/>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13</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与医改同步</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推进情况</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4</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有成效有部署得满分，有部署成效不佳得60%分，无部署无成效不得分；需现场汇报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2256" w:type="dxa"/>
            <w:vMerge w:val="continue"/>
            <w:tcBorders>
              <w:top w:val="nil"/>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14</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树立典型情况</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2</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有典型且有区域内宣传推广措施得满分，有典型未推广得60%分，无典型不得分；需出示典型示范实际案例,入选国家典型或接受国家媒体宣传报道，可得附加分2分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vMerge w:val="continue"/>
            <w:tcBorders>
              <w:top w:val="nil"/>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900"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15</w:t>
            </w:r>
          </w:p>
        </w:tc>
        <w:tc>
          <w:tcPr>
            <w:tcW w:w="195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宣传情况</w:t>
            </w:r>
          </w:p>
        </w:tc>
        <w:tc>
          <w:tcPr>
            <w:tcW w:w="99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2</w:t>
            </w:r>
          </w:p>
        </w:tc>
        <w:tc>
          <w:tcPr>
            <w:tcW w:w="7973"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当地媒体有宣传得1.2分，每增加1种宣传手段的加0.4分，直至满分；需提供当地媒体宣传材料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jc w:val="center"/>
        </w:trPr>
        <w:tc>
          <w:tcPr>
            <w:tcW w:w="225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p>
        </w:tc>
        <w:tc>
          <w:tcPr>
            <w:tcW w:w="900"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合计</w:t>
            </w:r>
          </w:p>
        </w:tc>
        <w:tc>
          <w:tcPr>
            <w:tcW w:w="1954"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p>
        </w:tc>
        <w:tc>
          <w:tcPr>
            <w:tcW w:w="993"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r>
              <w:rPr>
                <w:rFonts w:hint="eastAsia" w:ascii="仿宋_GB2312" w:hAnsi="Times New Roman" w:eastAsia="仿宋_GB2312" w:cs="仿宋_GB2312"/>
                <w:kern w:val="2"/>
                <w:sz w:val="28"/>
                <w:szCs w:val="28"/>
                <w:bdr w:val="none" w:color="auto" w:sz="0" w:space="0"/>
                <w:lang w:val="en-US" w:eastAsia="zh-CN" w:bidi="ar"/>
              </w:rPr>
              <w:t>50</w:t>
            </w:r>
          </w:p>
        </w:tc>
        <w:tc>
          <w:tcPr>
            <w:tcW w:w="7973"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Calibri" w:eastAsia="仿宋_GB2312" w:cs="仿宋_GB2312"/>
                <w:kern w:val="2"/>
                <w:sz w:val="28"/>
                <w:szCs w:val="28"/>
                <w:bdr w:val="none" w:color="auto" w:sz="0" w:space="0"/>
              </w:rPr>
            </w:pP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B25CF"/>
    <w:rsid w:val="0DBB25C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2018-10-31T07:08:00Z</dcterms:created>
  <dc:creator>hp</dc:creator>
  <cp:lastModifiedBy>hp</cp:lastModifiedBy>
  <dcterms:modified xsi:type="dcterms:W3CDTF">2018-10-31T07:09:04Z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