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64"/>
          <w:tab w:val="center" w:pos="4153"/>
        </w:tabs>
        <w:spacing w:line="360" w:lineRule="auto"/>
        <w:jc w:val="center"/>
        <w:rPr>
          <w:rFonts w:hint="eastAsia" w:ascii="宋体" w:hAnsi="宋体" w:eastAsia="宋体" w:cs="宋体"/>
          <w:b/>
          <w:color w:val="000000"/>
          <w:sz w:val="44"/>
          <w:szCs w:val="44"/>
        </w:rPr>
      </w:pPr>
      <w:bookmarkStart w:id="40" w:name="_GoBack"/>
      <w:bookmarkEnd w:id="40"/>
      <w:r>
        <w:rPr>
          <w:rFonts w:hint="eastAsia" w:ascii="宋体" w:hAnsi="宋体" w:eastAsia="宋体" w:cs="宋体"/>
          <w:b/>
          <w:color w:val="000000"/>
          <w:sz w:val="44"/>
          <w:szCs w:val="44"/>
        </w:rPr>
        <w:t>癌症疼痛诊疗规范</w:t>
      </w:r>
    </w:p>
    <w:p>
      <w:pPr>
        <w:tabs>
          <w:tab w:val="left" w:pos="1064"/>
          <w:tab w:val="center" w:pos="4153"/>
        </w:tabs>
        <w:spacing w:line="360" w:lineRule="auto"/>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（2018年版）</w:t>
      </w:r>
    </w:p>
    <w:p>
      <w:pPr>
        <w:tabs>
          <w:tab w:val="left" w:pos="1064"/>
          <w:tab w:val="center" w:pos="4153"/>
        </w:tabs>
        <w:spacing w:line="360" w:lineRule="auto"/>
        <w:jc w:val="center"/>
        <w:rPr>
          <w:rFonts w:hint="eastAsia" w:ascii="宋体" w:hAnsi="宋体" w:eastAsia="宋体" w:cs="宋体"/>
          <w:b/>
          <w:color w:val="000000"/>
          <w:sz w:val="44"/>
          <w:szCs w:val="44"/>
        </w:rPr>
      </w:pPr>
    </w:p>
    <w:p>
      <w:pPr>
        <w:pStyle w:val="11"/>
        <w:tabs>
          <w:tab w:val="left" w:pos="6841"/>
        </w:tabs>
        <w:adjustRightInd w:val="0"/>
        <w:snapToGrid w:val="0"/>
        <w:spacing w:before="156" w:line="360" w:lineRule="auto"/>
        <w:ind w:firstLine="640" w:firstLineChars="200"/>
        <w:rPr>
          <w:rFonts w:hint="eastAsia"/>
          <w:color w:val="000000"/>
          <w:kern w:val="2"/>
          <w:sz w:val="32"/>
          <w:szCs w:val="32"/>
        </w:rPr>
      </w:pPr>
      <w:bookmarkStart w:id="0" w:name="SectionMark4"/>
      <w:bookmarkStart w:id="1" w:name="_Toc201980856"/>
      <w:bookmarkStart w:id="2" w:name="_Toc201980871"/>
      <w:bookmarkStart w:id="3" w:name="_Toc201979910"/>
      <w:bookmarkStart w:id="4" w:name="_Toc201981103"/>
      <w:bookmarkStart w:id="5" w:name="_Toc241994547"/>
      <w:bookmarkStart w:id="6" w:name="_Toc269222106"/>
      <w:bookmarkStart w:id="7" w:name="_Toc201984430"/>
      <w:r>
        <w:rPr>
          <w:rFonts w:hint="eastAsia" w:hAnsi="宋体"/>
          <w:color w:val="000000"/>
          <w:kern w:val="2"/>
          <w:sz w:val="32"/>
          <w:szCs w:val="32"/>
        </w:rPr>
        <w:t>一、概述</w:t>
      </w:r>
      <w:r>
        <w:rPr>
          <w:rFonts w:hint="eastAsia" w:hAnsi="宋体"/>
          <w:color w:val="000000"/>
          <w:kern w:val="2"/>
          <w:sz w:val="32"/>
          <w:szCs w:val="32"/>
        </w:rPr>
        <w:tab/>
      </w:r>
    </w:p>
    <w:bookmarkEnd w:id="0"/>
    <w:bookmarkEnd w:id="1"/>
    <w:bookmarkEnd w:id="2"/>
    <w:bookmarkEnd w:id="3"/>
    <w:bookmarkEnd w:id="4"/>
    <w:bookmarkEnd w:id="5"/>
    <w:bookmarkEnd w:id="6"/>
    <w:bookmarkEnd w:id="7"/>
    <w:p>
      <w:pPr>
        <w:pStyle w:val="10"/>
        <w:adjustRightInd w:val="0"/>
        <w:snapToGrid w:val="0"/>
        <w:spacing w:line="360" w:lineRule="auto"/>
        <w:ind w:firstLine="640"/>
        <w:rPr>
          <w:rFonts w:hint="eastAsia" w:ascii="仿宋_GB2312" w:eastAsia="仿宋_GB2312"/>
          <w:color w:val="000000"/>
          <w:sz w:val="32"/>
          <w:szCs w:val="36"/>
        </w:rPr>
      </w:pPr>
      <w:bookmarkStart w:id="8" w:name="_Toc201979912"/>
      <w:bookmarkEnd w:id="8"/>
      <w:bookmarkStart w:id="9" w:name="_Toc269222110"/>
      <w:r>
        <w:rPr>
          <w:rFonts w:hint="eastAsia" w:ascii="仿宋_GB2312" w:eastAsia="仿宋_GB2312"/>
          <w:color w:val="000000"/>
          <w:sz w:val="32"/>
          <w:szCs w:val="36"/>
        </w:rPr>
        <w:t>疼痛是人类的第五大生命体征，控制疼痛是患者的基本权益，也是医务人员的职责义务。</w:t>
      </w:r>
      <w:r>
        <w:rPr>
          <w:rFonts w:hint="eastAsia" w:ascii="仿宋_GB2312" w:eastAsia="仿宋_GB2312"/>
          <w:vanish/>
          <w:color w:val="000000"/>
          <w:sz w:val="32"/>
          <w:szCs w:val="36"/>
        </w:rPr>
        <w:t>。者痛症状；晚期</w:t>
      </w:r>
      <w:r>
        <w:rPr>
          <w:rFonts w:hint="eastAsia" w:ascii="仿宋_GB2312" w:eastAsia="仿宋_GB2312"/>
          <w:color w:val="000000"/>
          <w:sz w:val="32"/>
          <w:szCs w:val="36"/>
        </w:rPr>
        <w:t>疼痛是癌症患者最常见和难以忍受的症状之一，严重地影响癌症患者的生活质量。初诊癌症患者的疼痛发生率约为25%,而晚期癌症患者的疼痛发生率可达60％-80％，其中1/3的患者为重度疼痛。</w:t>
      </w:r>
    </w:p>
    <w:p>
      <w:pPr>
        <w:pStyle w:val="10"/>
        <w:adjustRightInd w:val="0"/>
        <w:snapToGrid w:val="0"/>
        <w:spacing w:line="360" w:lineRule="auto"/>
        <w:ind w:firstLine="640"/>
        <w:rPr>
          <w:rFonts w:hint="eastAsia" w:ascii="仿宋_GB2312" w:eastAsia="仿宋_GB2312"/>
          <w:color w:val="000000"/>
          <w:kern w:val="0"/>
          <w:sz w:val="32"/>
          <w:szCs w:val="36"/>
        </w:rPr>
      </w:pPr>
      <w:r>
        <w:rPr>
          <w:rFonts w:hint="eastAsia" w:ascii="仿宋_GB2312" w:eastAsia="仿宋_GB2312"/>
          <w:color w:val="000000"/>
          <w:sz w:val="32"/>
          <w:szCs w:val="36"/>
        </w:rPr>
        <w:t xml:space="preserve">如果癌症疼痛（以下简称癌痛）不能得到及时、有效的控制，患者往往感到极度不适，可能会引起或加重其焦虑、抑郁、乏力、失眠以及食欲减退等症状，显著影响患者的日常活动、自理能力、社会交往和整体生活质量。因此,在癌症治疗过程中，镇痛具有重要作用。对于癌痛患者应当进行常规筛查、规范评估和有效地控制疼痛，强调全方位和全程管理，还应当做好患者及其家属的宣教。 </w:t>
      </w:r>
    </w:p>
    <w:p>
      <w:pPr>
        <w:pStyle w:val="10"/>
        <w:adjustRightInd w:val="0"/>
        <w:snapToGrid w:val="0"/>
        <w:spacing w:line="360" w:lineRule="auto"/>
        <w:ind w:firstLine="640"/>
        <w:rPr>
          <w:rFonts w:hint="eastAsia" w:ascii="仿宋_GB2312" w:hAnsi="Times New Roman" w:eastAsia="仿宋_GB2312"/>
          <w:color w:val="000000"/>
          <w:sz w:val="32"/>
          <w:szCs w:val="36"/>
        </w:rPr>
      </w:pPr>
      <w:r>
        <w:rPr>
          <w:rFonts w:hint="eastAsia" w:ascii="仿宋_GB2312" w:eastAsia="仿宋_GB2312"/>
          <w:color w:val="000000"/>
          <w:sz w:val="32"/>
          <w:szCs w:val="36"/>
        </w:rPr>
        <w:t>为进一步规范我国医务人员对于癌痛的临床诊断、治疗和研究行为，</w:t>
      </w:r>
      <w:r>
        <w:rPr>
          <w:rFonts w:hint="eastAsia" w:ascii="仿宋_GB2312" w:eastAsia="仿宋_GB2312"/>
          <w:sz w:val="32"/>
          <w:szCs w:val="36"/>
        </w:rPr>
        <w:t>完善重大疾病规范化诊疗体系，</w:t>
      </w:r>
      <w:r>
        <w:rPr>
          <w:rFonts w:hint="eastAsia" w:ascii="仿宋_GB2312" w:eastAsia="仿宋_GB2312"/>
          <w:color w:val="000000"/>
          <w:sz w:val="32"/>
          <w:szCs w:val="36"/>
        </w:rPr>
        <w:t>提高医疗机构癌痛诊疗水平，积极改善癌症患者生活质量，保障医疗质量和医疗安全，特制定本规范。</w:t>
      </w:r>
    </w:p>
    <w:p>
      <w:pPr>
        <w:pStyle w:val="11"/>
        <w:adjustRightInd w:val="0"/>
        <w:snapToGrid w:val="0"/>
        <w:spacing w:before="156" w:line="360" w:lineRule="auto"/>
        <w:ind w:firstLine="640" w:firstLineChars="200"/>
        <w:rPr>
          <w:rFonts w:hint="eastAsia" w:hAnsi="宋体"/>
          <w:color w:val="000000"/>
          <w:kern w:val="2"/>
          <w:sz w:val="32"/>
          <w:szCs w:val="32"/>
        </w:rPr>
      </w:pPr>
      <w:bookmarkStart w:id="10" w:name="OLE_LINK34"/>
      <w:bookmarkStart w:id="11" w:name="OLE_LINK55"/>
      <w:bookmarkStart w:id="12" w:name="OLE_LINK54"/>
      <w:r>
        <w:rPr>
          <w:rFonts w:hint="eastAsia" w:hAnsi="宋体"/>
          <w:color w:val="000000"/>
          <w:kern w:val="2"/>
          <w:sz w:val="32"/>
          <w:szCs w:val="32"/>
        </w:rPr>
        <w:t>二、癌痛病因、机制及分类</w:t>
      </w:r>
      <w:bookmarkEnd w:id="10"/>
      <w:bookmarkEnd w:id="11"/>
      <w:bookmarkEnd w:id="12"/>
    </w:p>
    <w:p>
      <w:pPr>
        <w:pStyle w:val="10"/>
        <w:adjustRightInd w:val="0"/>
        <w:snapToGrid w:val="0"/>
        <w:spacing w:line="360" w:lineRule="auto"/>
        <w:ind w:firstLine="640"/>
        <w:rPr>
          <w:rFonts w:hint="eastAsia" w:ascii="楷体_GB2312" w:eastAsia="楷体_GB2312"/>
          <w:color w:val="000000"/>
          <w:sz w:val="32"/>
          <w:szCs w:val="32"/>
        </w:rPr>
      </w:pPr>
      <w:r>
        <w:rPr>
          <w:rFonts w:hint="eastAsia" w:ascii="楷体_GB2312" w:eastAsia="楷体_GB2312"/>
          <w:bCs/>
          <w:color w:val="000000"/>
          <w:sz w:val="32"/>
          <w:szCs w:val="32"/>
        </w:rPr>
        <w:t>（一）癌痛病因。</w:t>
      </w:r>
      <w:r>
        <w:rPr>
          <w:rFonts w:hint="eastAsia" w:ascii="楷体_GB2312" w:eastAsia="楷体_GB2312"/>
          <w:color w:val="000000"/>
          <w:sz w:val="32"/>
          <w:szCs w:val="32"/>
        </w:rPr>
        <w:t xml:space="preserve"> </w:t>
      </w:r>
    </w:p>
    <w:p>
      <w:pPr>
        <w:pStyle w:val="10"/>
        <w:adjustRightInd w:val="0"/>
        <w:snapToGrid w:val="0"/>
        <w:spacing w:line="360" w:lineRule="auto"/>
        <w:ind w:firstLine="640"/>
        <w:rPr>
          <w:rFonts w:hint="eastAsia" w:ascii="仿宋_GB2312" w:eastAsia="仿宋_GB2312"/>
          <w:color w:val="000000"/>
          <w:sz w:val="32"/>
          <w:szCs w:val="32"/>
        </w:rPr>
      </w:pPr>
      <w:r>
        <w:rPr>
          <w:rFonts w:hint="eastAsia" w:ascii="仿宋_GB2312" w:eastAsia="仿宋_GB2312"/>
          <w:color w:val="000000"/>
          <w:sz w:val="32"/>
          <w:szCs w:val="32"/>
        </w:rPr>
        <w:t>癌痛的原因复杂多样，大致可分为以下三类：</w:t>
      </w:r>
    </w:p>
    <w:p>
      <w:pPr>
        <w:pStyle w:val="10"/>
        <w:adjustRightInd w:val="0"/>
        <w:snapToGrid w:val="0"/>
        <w:spacing w:line="360" w:lineRule="auto"/>
        <w:ind w:firstLine="640"/>
        <w:rPr>
          <w:rFonts w:hint="eastAsia" w:ascii="仿宋_GB2312" w:eastAsia="仿宋_GB2312"/>
          <w:color w:val="000000"/>
          <w:sz w:val="32"/>
          <w:szCs w:val="32"/>
        </w:rPr>
      </w:pPr>
      <w:bookmarkStart w:id="13" w:name="OLE_LINK32"/>
      <w:bookmarkStart w:id="14" w:name="OLE_LINK33"/>
      <w:r>
        <w:rPr>
          <w:rFonts w:hint="eastAsia" w:ascii="仿宋_GB2312" w:eastAsia="仿宋_GB2312"/>
          <w:color w:val="000000"/>
          <w:sz w:val="32"/>
          <w:szCs w:val="32"/>
        </w:rPr>
        <w:t>1.肿瘤相关性疼痛：因为肿瘤直接侵犯、压迫局部组织，或者肿瘤转移累及骨、软组织等所致。</w:t>
      </w:r>
    </w:p>
    <w:p>
      <w:pPr>
        <w:pStyle w:val="10"/>
        <w:adjustRightInd w:val="0"/>
        <w:snapToGrid w:val="0"/>
        <w:spacing w:line="360" w:lineRule="auto"/>
        <w:ind w:firstLine="640"/>
        <w:rPr>
          <w:rFonts w:hint="eastAsia" w:ascii="仿宋_GB2312" w:eastAsia="仿宋_GB2312"/>
          <w:color w:val="000000"/>
          <w:sz w:val="32"/>
          <w:szCs w:val="32"/>
        </w:rPr>
      </w:pPr>
      <w:r>
        <w:rPr>
          <w:rFonts w:hint="eastAsia" w:ascii="仿宋_GB2312" w:eastAsia="仿宋_GB2312"/>
          <w:color w:val="000000"/>
          <w:sz w:val="32"/>
          <w:szCs w:val="32"/>
        </w:rPr>
        <w:t>2.抗肿瘤治疗相关性疼痛：常见于手术、创伤性操作、放射治疗、其他物理治疗以及药物治疗等抗肿瘤治疗所致。</w:t>
      </w:r>
    </w:p>
    <w:p>
      <w:pPr>
        <w:pStyle w:val="10"/>
        <w:adjustRightInd w:val="0"/>
        <w:snapToGrid w:val="0"/>
        <w:spacing w:line="360" w:lineRule="auto"/>
        <w:ind w:firstLine="640"/>
        <w:rPr>
          <w:rFonts w:hint="eastAsia" w:ascii="仿宋_GB2312" w:eastAsia="仿宋_GB2312"/>
          <w:color w:val="000000"/>
          <w:sz w:val="32"/>
          <w:szCs w:val="32"/>
        </w:rPr>
      </w:pPr>
      <w:r>
        <w:rPr>
          <w:rFonts w:hint="eastAsia" w:ascii="仿宋_GB2312" w:eastAsia="仿宋_GB2312"/>
          <w:color w:val="000000"/>
          <w:sz w:val="32"/>
          <w:szCs w:val="32"/>
        </w:rPr>
        <w:t>3.非肿瘤因素性疼痛：由于患者的其他合并症、并发症以及社会心理因素等非肿瘤因素所致的疼痛。</w:t>
      </w:r>
      <w:bookmarkEnd w:id="13"/>
      <w:bookmarkEnd w:id="14"/>
    </w:p>
    <w:p>
      <w:pPr>
        <w:pStyle w:val="10"/>
        <w:adjustRightInd w:val="0"/>
        <w:snapToGrid w:val="0"/>
        <w:spacing w:line="360" w:lineRule="auto"/>
        <w:ind w:firstLine="640"/>
        <w:rPr>
          <w:rFonts w:hint="eastAsia" w:ascii="楷体_GB2312" w:eastAsia="楷体_GB2312"/>
          <w:bCs/>
          <w:color w:val="000000"/>
          <w:sz w:val="32"/>
          <w:szCs w:val="32"/>
        </w:rPr>
      </w:pPr>
      <w:bookmarkStart w:id="15" w:name="OLE_LINK30"/>
      <w:bookmarkStart w:id="16" w:name="OLE_LINK31"/>
      <w:r>
        <w:rPr>
          <w:rFonts w:hint="eastAsia" w:ascii="楷体_GB2312" w:eastAsia="楷体_GB2312"/>
          <w:bCs/>
          <w:color w:val="000000"/>
          <w:sz w:val="32"/>
          <w:szCs w:val="32"/>
        </w:rPr>
        <w:t>（二）癌痛机制与分类。</w:t>
      </w:r>
      <w:bookmarkEnd w:id="15"/>
      <w:bookmarkEnd w:id="16"/>
    </w:p>
    <w:p>
      <w:pPr>
        <w:adjustRightInd w:val="0"/>
        <w:snapToGrid w:val="0"/>
        <w:spacing w:line="360" w:lineRule="auto"/>
        <w:ind w:firstLine="640" w:firstLineChars="200"/>
        <w:rPr>
          <w:rFonts w:hint="eastAsia" w:ascii="仿宋_GB2312" w:hAnsi="宋体"/>
          <w:color w:val="000000"/>
          <w:szCs w:val="32"/>
        </w:rPr>
      </w:pPr>
      <w:r>
        <w:rPr>
          <w:rFonts w:hint="eastAsia" w:ascii="仿宋_GB2312" w:hAnsi="宋体"/>
          <w:color w:val="000000"/>
          <w:szCs w:val="32"/>
        </w:rPr>
        <w:t>1.疼痛按病理生理学机制，主要可以分为两种类型：伤害感受性疼痛和神经病理性疼痛。</w:t>
      </w:r>
    </w:p>
    <w:p>
      <w:pPr>
        <w:adjustRightInd w:val="0"/>
        <w:snapToGrid w:val="0"/>
        <w:spacing w:line="360" w:lineRule="auto"/>
        <w:ind w:firstLine="640" w:firstLineChars="200"/>
        <w:rPr>
          <w:rFonts w:hint="eastAsia" w:ascii="仿宋_GB2312"/>
          <w:color w:val="000000"/>
          <w:szCs w:val="32"/>
        </w:rPr>
      </w:pPr>
      <w:r>
        <w:rPr>
          <w:rFonts w:hint="eastAsia" w:ascii="仿宋_GB2312" w:hAnsi="宋体"/>
          <w:color w:val="000000"/>
          <w:szCs w:val="32"/>
        </w:rPr>
        <w:t>（1）</w:t>
      </w:r>
      <w:r>
        <w:rPr>
          <w:rFonts w:hint="eastAsia" w:ascii="仿宋_GB2312"/>
          <w:color w:val="000000"/>
          <w:szCs w:val="32"/>
        </w:rPr>
        <w:t>伤害感受性疼痛：因有害刺激作用于躯体或脏器组织，使该结构受损而导致的疼痛。</w:t>
      </w:r>
      <w:r>
        <w:rPr>
          <w:rFonts w:hint="eastAsia" w:ascii="仿宋_GB2312" w:hAnsi="宋体"/>
          <w:color w:val="000000"/>
          <w:szCs w:val="32"/>
        </w:rPr>
        <w:t>伤害感受性疼痛与实际发生的组织损伤或潜在的损伤相关，是机体对损伤所表现出的生理性</w:t>
      </w:r>
      <w:r>
        <w:rPr>
          <w:rFonts w:hint="eastAsia" w:ascii="仿宋_GB2312"/>
          <w:color w:val="000000"/>
          <w:szCs w:val="32"/>
        </w:rPr>
        <w:t>痛觉神经信息传导与应答的过程</w:t>
      </w:r>
      <w:r>
        <w:rPr>
          <w:rFonts w:hint="eastAsia" w:ascii="仿宋_GB2312" w:hAnsi="宋体"/>
          <w:color w:val="000000"/>
          <w:szCs w:val="32"/>
        </w:rPr>
        <w:t>。伤害感受性疼痛包括躯体痛和内脏痛。躯体痛常表现为钝痛、锐痛或者压迫性疼痛，定位</w:t>
      </w:r>
      <w:r>
        <w:rPr>
          <w:rFonts w:hint="eastAsia" w:ascii="仿宋_GB2312"/>
          <w:color w:val="000000"/>
          <w:szCs w:val="32"/>
        </w:rPr>
        <w:t>准确</w:t>
      </w:r>
      <w:r>
        <w:rPr>
          <w:rFonts w:hint="eastAsia" w:ascii="仿宋_GB2312" w:hAnsi="宋体"/>
          <w:color w:val="000000"/>
          <w:szCs w:val="32"/>
        </w:rPr>
        <w:t>；而内脏痛常表现为</w:t>
      </w:r>
      <w:r>
        <w:rPr>
          <w:rFonts w:hint="eastAsia" w:ascii="仿宋_GB2312"/>
          <w:color w:val="000000"/>
          <w:szCs w:val="32"/>
        </w:rPr>
        <w:t>弥漫性疼痛和绞痛，</w:t>
      </w:r>
      <w:r>
        <w:rPr>
          <w:rFonts w:hint="eastAsia" w:ascii="仿宋_GB2312" w:hAnsi="宋体"/>
          <w:color w:val="000000"/>
          <w:szCs w:val="32"/>
        </w:rPr>
        <w:t>定位</w:t>
      </w:r>
      <w:r>
        <w:rPr>
          <w:rFonts w:hint="eastAsia" w:ascii="仿宋_GB2312"/>
          <w:color w:val="000000"/>
          <w:szCs w:val="32"/>
        </w:rPr>
        <w:t>不够准确。</w:t>
      </w:r>
    </w:p>
    <w:p>
      <w:pPr>
        <w:adjustRightInd w:val="0"/>
        <w:snapToGrid w:val="0"/>
        <w:spacing w:line="360" w:lineRule="auto"/>
        <w:ind w:firstLine="640" w:firstLineChars="200"/>
        <w:rPr>
          <w:rFonts w:hint="eastAsia" w:ascii="仿宋_GB2312"/>
          <w:color w:val="000000"/>
          <w:szCs w:val="32"/>
        </w:rPr>
      </w:pPr>
      <w:r>
        <w:rPr>
          <w:rFonts w:hint="eastAsia" w:ascii="仿宋_GB2312"/>
          <w:color w:val="000000"/>
          <w:szCs w:val="32"/>
        </w:rPr>
        <w:t>（2）</w:t>
      </w:r>
      <w:r>
        <w:rPr>
          <w:rFonts w:hint="eastAsia" w:ascii="仿宋_GB2312" w:hAnsi="宋体"/>
          <w:color w:val="000000"/>
          <w:szCs w:val="32"/>
        </w:rPr>
        <w:t>神经病理性疼痛：</w:t>
      </w:r>
      <w:r>
        <w:rPr>
          <w:rFonts w:hint="eastAsia" w:ascii="仿宋_GB2312"/>
          <w:color w:val="000000"/>
          <w:szCs w:val="32"/>
        </w:rPr>
        <w:t>由于外周神经或中枢神经受损，</w:t>
      </w:r>
      <w:r>
        <w:rPr>
          <w:rFonts w:hint="eastAsia" w:ascii="仿宋_GB2312" w:hAnsi="宋体"/>
          <w:color w:val="000000"/>
          <w:szCs w:val="32"/>
        </w:rPr>
        <w:t>痛觉传递神经纤维或疼痛中枢产生异常神经冲动所致。神经病理性疼痛可以表现为刺痛、烧灼样痛、放电样痛、</w:t>
      </w:r>
      <w:r>
        <w:rPr>
          <w:rFonts w:hint="eastAsia" w:ascii="仿宋_GB2312"/>
          <w:color w:val="000000"/>
          <w:szCs w:val="32"/>
        </w:rPr>
        <w:t>枪击样疼痛、</w:t>
      </w:r>
      <w:r>
        <w:rPr>
          <w:rFonts w:hint="eastAsia" w:ascii="仿宋_GB2312" w:hAnsi="宋体"/>
          <w:color w:val="000000"/>
          <w:szCs w:val="32"/>
        </w:rPr>
        <w:t>麻木痛、麻刺痛、幻觉痛及中枢性坠胀痛，常合并自发性疼痛、触诱发痛、痛觉过敏和痛觉超敏。</w:t>
      </w:r>
    </w:p>
    <w:p>
      <w:pPr>
        <w:pStyle w:val="10"/>
        <w:adjustRightInd w:val="0"/>
        <w:snapToGrid w:val="0"/>
        <w:spacing w:line="360" w:lineRule="auto"/>
        <w:ind w:firstLine="640"/>
        <w:rPr>
          <w:rFonts w:hint="eastAsia" w:ascii="仿宋_GB2312" w:eastAsia="仿宋_GB2312"/>
          <w:color w:val="000000"/>
          <w:sz w:val="32"/>
          <w:szCs w:val="32"/>
        </w:rPr>
      </w:pPr>
      <w:r>
        <w:rPr>
          <w:rFonts w:hint="eastAsia" w:ascii="仿宋_GB2312" w:eastAsia="仿宋_GB2312"/>
          <w:color w:val="000000"/>
          <w:sz w:val="32"/>
          <w:szCs w:val="32"/>
        </w:rPr>
        <w:t>2.疼痛按发病持续时间，分为急性疼痛和慢性疼痛。癌症疼痛大多数表现为慢性疼痛。慢性疼痛与急性疼痛的发生机制既有共性也有差异。慢性疼痛的发生，除伤害感受性疼痛的基本传导调制过程外，还可表现出不同于急性疼痛的神经病理性疼痛机制，如伤害感受器过度兴奋、受损神经异位电活动、痛觉传导中枢机制敏感性过度增强、离子通道和受体表达异常、中枢神经系统重构等。与急性疼痛相比较，慢性疼痛持续时间长，机制尚不清楚，疼痛程度与组织损伤程度可呈分离现象，可以伴有痛觉过敏和异常疼痛，常规止痛治疗往往疗效不佳。</w:t>
      </w:r>
    </w:p>
    <w:p>
      <w:pPr>
        <w:pStyle w:val="10"/>
        <w:adjustRightInd w:val="0"/>
        <w:snapToGrid w:val="0"/>
        <w:spacing w:line="360" w:lineRule="auto"/>
        <w:ind w:firstLine="640"/>
        <w:rPr>
          <w:rFonts w:hint="eastAsia" w:ascii="黑体" w:eastAsia="黑体"/>
          <w:color w:val="000000"/>
          <w:sz w:val="32"/>
          <w:szCs w:val="32"/>
        </w:rPr>
      </w:pPr>
      <w:r>
        <w:rPr>
          <w:rFonts w:hint="eastAsia" w:ascii="黑体" w:eastAsia="黑体"/>
          <w:color w:val="000000"/>
          <w:sz w:val="32"/>
          <w:szCs w:val="32"/>
        </w:rPr>
        <w:t>三、癌痛评估</w:t>
      </w:r>
    </w:p>
    <w:p>
      <w:pPr>
        <w:pStyle w:val="10"/>
        <w:adjustRightInd w:val="0"/>
        <w:snapToGrid w:val="0"/>
        <w:spacing w:line="360" w:lineRule="auto"/>
        <w:ind w:firstLine="640"/>
        <w:rPr>
          <w:rFonts w:hint="eastAsia" w:ascii="仿宋_GB2312" w:eastAsia="仿宋_GB2312"/>
          <w:color w:val="000000"/>
          <w:sz w:val="32"/>
          <w:szCs w:val="36"/>
        </w:rPr>
      </w:pPr>
      <w:r>
        <w:rPr>
          <w:rFonts w:hint="eastAsia" w:ascii="仿宋_GB2312" w:eastAsia="仿宋_GB2312"/>
          <w:color w:val="000000"/>
          <w:sz w:val="32"/>
          <w:szCs w:val="36"/>
        </w:rPr>
        <w:t>应该对癌症患者进行疼痛筛查，在此基础上进行详尽的癌痛评估。癌痛评估是合理、有效进行止痛治疗的前提，应当遵循“常规、量化、全面、动态”的原则。</w:t>
      </w:r>
    </w:p>
    <w:p>
      <w:pPr>
        <w:pStyle w:val="10"/>
        <w:adjustRightInd w:val="0"/>
        <w:snapToGrid w:val="0"/>
        <w:spacing w:line="360" w:lineRule="auto"/>
        <w:ind w:firstLine="640"/>
        <w:rPr>
          <w:rFonts w:hint="eastAsia" w:ascii="仿宋_GB2312" w:eastAsia="仿宋_GB2312"/>
          <w:color w:val="000000"/>
          <w:sz w:val="32"/>
          <w:szCs w:val="36"/>
        </w:rPr>
      </w:pPr>
      <w:r>
        <w:rPr>
          <w:rFonts w:hint="eastAsia" w:ascii="楷体_GB2312" w:eastAsia="楷体_GB2312"/>
          <w:bCs/>
          <w:color w:val="000000"/>
          <w:sz w:val="32"/>
          <w:szCs w:val="32"/>
        </w:rPr>
        <w:t>（一）常规评估原则。</w:t>
      </w:r>
      <w:r>
        <w:rPr>
          <w:rFonts w:hint="eastAsia" w:ascii="仿宋_GB2312" w:eastAsia="仿宋_GB2312"/>
          <w:color w:val="000000"/>
          <w:sz w:val="32"/>
          <w:szCs w:val="36"/>
        </w:rPr>
        <w:t>癌痛常规评估是指医护人员主动询问癌症患者有无疼痛，常规性评估疼痛病情，并且及时进行相应的病历记录，一般情况下应当在患者入院后8小时内完成。对于有疼痛症状的癌症患者，应当将疼痛评估列入护理常规监测和记录的内容。进行疼痛常规评估时应当注意鉴别疼痛爆发性发作的原因，例如需要特殊处理的病理性骨折、脑转移、合并感染以及肠梗阻等急症所致的疼痛。</w:t>
      </w:r>
    </w:p>
    <w:p>
      <w:pPr>
        <w:pStyle w:val="10"/>
        <w:adjustRightInd w:val="0"/>
        <w:snapToGrid w:val="0"/>
        <w:spacing w:line="360" w:lineRule="auto"/>
        <w:ind w:firstLine="640"/>
        <w:rPr>
          <w:rFonts w:hint="eastAsia" w:ascii="仿宋_GB2312" w:eastAsia="仿宋_GB2312"/>
          <w:color w:val="000000"/>
          <w:sz w:val="32"/>
          <w:szCs w:val="36"/>
        </w:rPr>
      </w:pPr>
      <w:r>
        <w:rPr>
          <w:rFonts w:hint="eastAsia" w:ascii="楷体_GB2312" w:eastAsia="楷体_GB2312"/>
          <w:bCs/>
          <w:color w:val="000000"/>
          <w:sz w:val="32"/>
          <w:szCs w:val="32"/>
        </w:rPr>
        <w:t>（二）量化评估原则。</w:t>
      </w:r>
      <w:r>
        <w:rPr>
          <w:rFonts w:hint="eastAsia" w:ascii="仿宋_GB2312" w:eastAsia="仿宋_GB2312"/>
          <w:color w:val="000000"/>
          <w:sz w:val="32"/>
          <w:szCs w:val="36"/>
        </w:rPr>
        <w:t>癌痛量化评估是指采用疼痛程度评估量表等量化标准来评估患者疼痛主观感受程度，需要患者的密切配合。量化评估疼痛时，应当重点评估最近24小时内患者最严重和最轻的疼痛程度，以及平常情况的疼痛程度。量化评估应在患者入院后8小时内完成。癌痛的量化评估，通常使用数字分级法(NRS)、面部表情评估量表法及主诉疼痛程度分级法(VRS)三种方法。</w:t>
      </w:r>
    </w:p>
    <w:p>
      <w:pPr>
        <w:pStyle w:val="10"/>
        <w:numPr>
          <w:ilvl w:val="0"/>
          <w:numId w:val="1"/>
        </w:numPr>
        <w:adjustRightInd w:val="0"/>
        <w:snapToGrid w:val="0"/>
        <w:spacing w:line="360" w:lineRule="auto"/>
        <w:ind w:firstLine="640"/>
        <w:rPr>
          <w:rFonts w:hint="eastAsia" w:ascii="仿宋_GB2312" w:eastAsia="仿宋_GB2312"/>
          <w:color w:val="000000"/>
          <w:sz w:val="32"/>
          <w:szCs w:val="36"/>
        </w:rPr>
      </w:pPr>
      <w:r>
        <w:rPr>
          <w:rFonts w:hint="eastAsia" w:ascii="仿宋_GB2312" w:eastAsia="仿宋_GB2312"/>
          <w:color w:val="000000"/>
          <w:sz w:val="32"/>
          <w:szCs w:val="36"/>
        </w:rPr>
        <w:t>数字分级法(NRS)：使用《疼痛程度数字评估量表》（见图1）对患者疼痛程度进行评估。将疼痛程度用0-10个数字依次表示，0表示无疼痛，10表示能够想象的最剧烈疼痛。交由患者自己选择一个最能代表自身疼痛程度的数字，或由医护人员协助患者理解后选择相应的数字描述疼痛。按照疼痛对应的数字，将疼痛程度分为：轻度疼痛（1-3），中度疼痛（4-6），重度疼痛（7-10）。</w:t>
      </w:r>
    </w:p>
    <w:p>
      <w:pPr>
        <w:pStyle w:val="10"/>
        <w:tabs>
          <w:tab w:val="left" w:pos="312"/>
        </w:tabs>
        <w:adjustRightInd w:val="0"/>
        <w:snapToGrid w:val="0"/>
        <w:spacing w:line="360" w:lineRule="auto"/>
        <w:ind w:left="640" w:firstLine="640"/>
        <w:rPr>
          <w:rFonts w:hint="eastAsia" w:ascii="仿宋_GB2312" w:eastAsia="仿宋_GB2312"/>
          <w:color w:val="000000"/>
          <w:sz w:val="32"/>
          <w:szCs w:val="36"/>
        </w:rPr>
      </w:pPr>
    </w:p>
    <w:p>
      <w:pPr>
        <w:pStyle w:val="10"/>
        <w:tabs>
          <w:tab w:val="left" w:pos="312"/>
        </w:tabs>
        <w:adjustRightInd w:val="0"/>
        <w:snapToGrid w:val="0"/>
        <w:spacing w:line="360" w:lineRule="auto"/>
        <w:ind w:left="400" w:firstLine="420"/>
        <w:rPr>
          <w:rFonts w:hint="eastAsia" w:hAnsi="Times New Roman"/>
          <w:kern w:val="0"/>
          <w:sz w:val="20"/>
          <w:szCs w:val="20"/>
          <w:lang w:val="en-US"/>
        </w:rPr>
      </w:pPr>
      <w:r>
        <w:rPr>
          <w:lang w:val="en-US"/>
        </w:rPr>
        <w:drawing>
          <wp:inline distT="0" distB="0" distL="0" distR="0">
            <wp:extent cx="5276850" cy="704850"/>
            <wp:effectExtent l="0" t="0" r="0" b="0"/>
            <wp:docPr id="4" name="图片 4"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1"/>
                    <pic:cNvPicPr>
                      <a:picLocks noChangeAspect="1" noChangeArrowheads="1"/>
                    </pic:cNvPicPr>
                  </pic:nvPicPr>
                  <pic:blipFill>
                    <a:blip r:embed="rId4">
                      <a:extLst>
                        <a:ext uri="{28A0092B-C50C-407E-A947-70E740481C1C}">
                          <a14:useLocalDpi xmlns:a14="http://schemas.microsoft.com/office/drawing/2010/main" val="0"/>
                        </a:ext>
                      </a:extLst>
                    </a:blip>
                    <a:srcRect b="26518"/>
                    <a:stretch>
                      <a:fillRect/>
                    </a:stretch>
                  </pic:blipFill>
                  <pic:spPr>
                    <a:xfrm>
                      <a:off x="0" y="0"/>
                      <a:ext cx="5276850" cy="704850"/>
                    </a:xfrm>
                    <a:prstGeom prst="rect">
                      <a:avLst/>
                    </a:prstGeom>
                    <a:noFill/>
                    <a:ln>
                      <a:noFill/>
                    </a:ln>
                  </pic:spPr>
                </pic:pic>
              </a:graphicData>
            </a:graphic>
          </wp:inline>
        </w:drawing>
      </w:r>
    </w:p>
    <w:p>
      <w:pPr>
        <w:pStyle w:val="10"/>
        <w:tabs>
          <w:tab w:val="left" w:pos="312"/>
        </w:tabs>
        <w:adjustRightInd w:val="0"/>
        <w:snapToGrid w:val="0"/>
        <w:spacing w:line="360" w:lineRule="auto"/>
        <w:ind w:left="400" w:firstLine="26" w:firstLineChars="0"/>
        <w:rPr>
          <w:rFonts w:hint="eastAsia" w:ascii="仿宋_GB2312" w:eastAsia="仿宋_GB2312"/>
          <w:color w:val="000000"/>
          <w:sz w:val="32"/>
          <w:szCs w:val="36"/>
        </w:rPr>
      </w:pPr>
      <w:r>
        <w:rPr>
          <w:rFonts w:ascii="仿宋_GB2312" w:eastAsia="仿宋_GB2312"/>
          <w:color w:val="000000"/>
          <w:sz w:val="32"/>
          <w:szCs w:val="36"/>
          <w:lang w:val="en-US"/>
        </w:rPr>
        <w:drawing>
          <wp:inline distT="0" distB="0" distL="0" distR="0">
            <wp:extent cx="53721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372100" cy="495300"/>
                    </a:xfrm>
                    <a:prstGeom prst="rect">
                      <a:avLst/>
                    </a:prstGeom>
                    <a:noFill/>
                    <a:ln>
                      <a:noFill/>
                    </a:ln>
                  </pic:spPr>
                </pic:pic>
              </a:graphicData>
            </a:graphic>
          </wp:inline>
        </w:drawing>
      </w:r>
    </w:p>
    <w:p>
      <w:pPr>
        <w:pStyle w:val="10"/>
        <w:adjustRightInd w:val="0"/>
        <w:snapToGrid w:val="0"/>
        <w:ind w:firstLine="198" w:firstLineChars="62"/>
        <w:jc w:val="center"/>
        <w:rPr>
          <w:rFonts w:hint="eastAsia" w:ascii="黑体" w:eastAsia="黑体"/>
          <w:color w:val="000000"/>
          <w:sz w:val="32"/>
          <w:szCs w:val="36"/>
        </w:rPr>
      </w:pPr>
      <w:r>
        <w:rPr>
          <w:rFonts w:hint="eastAsia" w:ascii="黑体" w:eastAsia="黑体"/>
          <w:color w:val="000000"/>
          <w:sz w:val="32"/>
          <w:szCs w:val="36"/>
        </w:rPr>
        <w:t>图1. 疼痛程度数字评估量表</w:t>
      </w:r>
    </w:p>
    <w:p>
      <w:pPr>
        <w:pStyle w:val="10"/>
        <w:tabs>
          <w:tab w:val="left" w:pos="312"/>
        </w:tabs>
        <w:adjustRightInd w:val="0"/>
        <w:snapToGrid w:val="0"/>
        <w:spacing w:line="360" w:lineRule="auto"/>
        <w:ind w:left="400" w:firstLine="640"/>
        <w:rPr>
          <w:rFonts w:hint="eastAsia" w:ascii="仿宋_GB2312" w:eastAsia="仿宋_GB2312"/>
          <w:color w:val="000000"/>
          <w:sz w:val="32"/>
          <w:szCs w:val="36"/>
        </w:rPr>
      </w:pPr>
    </w:p>
    <w:p>
      <w:pPr>
        <w:pStyle w:val="10"/>
        <w:adjustRightInd w:val="0"/>
        <w:snapToGrid w:val="0"/>
        <w:spacing w:line="360" w:lineRule="auto"/>
        <w:ind w:firstLine="640"/>
        <w:rPr>
          <w:rFonts w:hint="eastAsia" w:ascii="仿宋_GB2312" w:hAnsi="Times New Roman" w:eastAsia="仿宋_GB2312"/>
          <w:color w:val="000000"/>
          <w:sz w:val="32"/>
          <w:szCs w:val="32"/>
        </w:rPr>
      </w:pPr>
      <w:r>
        <w:rPr>
          <w:rFonts w:hint="eastAsia" w:ascii="仿宋_GB2312" w:eastAsia="仿宋_GB2312"/>
          <w:color w:val="000000"/>
          <w:sz w:val="32"/>
          <w:szCs w:val="32"/>
        </w:rPr>
        <w:t>2.面部表情疼痛评分量表法：由医护人员根据患者疼痛时的面部表情状态，对照《面部表情疼痛评分量表》（见图2）进行疼痛评估，适用于自己表达困难的患者，如儿童、老年人、存在语言文化差异或其他交流障碍的患者。</w:t>
      </w:r>
    </w:p>
    <w:p>
      <w:pPr>
        <w:pStyle w:val="10"/>
        <w:adjustRightInd w:val="0"/>
        <w:snapToGrid w:val="0"/>
        <w:ind w:firstLine="148" w:firstLineChars="62"/>
        <w:jc w:val="center"/>
        <w:rPr>
          <w:rFonts w:hint="eastAsia" w:ascii="黑体" w:eastAsia="黑体"/>
          <w:color w:val="000000"/>
          <w:kern w:val="0"/>
          <w:sz w:val="24"/>
          <w:szCs w:val="24"/>
        </w:rPr>
      </w:pPr>
      <w:r>
        <w:rPr>
          <w:rFonts w:ascii="黑体" w:eastAsia="黑体"/>
          <w:color w:val="000000"/>
          <w:sz w:val="24"/>
          <w:szCs w:val="24"/>
          <w:lang w:val="en-US"/>
        </w:rPr>
        <w:drawing>
          <wp:inline distT="0" distB="0" distL="0" distR="0">
            <wp:extent cx="5267325" cy="1543050"/>
            <wp:effectExtent l="0" t="0" r="9525" b="0"/>
            <wp:docPr id="2" name="图片 2"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67325" cy="1543050"/>
                    </a:xfrm>
                    <a:prstGeom prst="rect">
                      <a:avLst/>
                    </a:prstGeom>
                    <a:noFill/>
                    <a:ln>
                      <a:noFill/>
                    </a:ln>
                  </pic:spPr>
                </pic:pic>
              </a:graphicData>
            </a:graphic>
          </wp:inline>
        </w:drawing>
      </w:r>
    </w:p>
    <w:p>
      <w:pPr>
        <w:pStyle w:val="10"/>
        <w:adjustRightInd w:val="0"/>
        <w:snapToGrid w:val="0"/>
        <w:ind w:firstLine="136" w:firstLineChars="62"/>
        <w:jc w:val="center"/>
        <w:rPr>
          <w:rFonts w:hint="eastAsia" w:ascii="黑体" w:eastAsia="黑体"/>
          <w:color w:val="000000"/>
          <w:sz w:val="22"/>
          <w:szCs w:val="24"/>
        </w:rPr>
      </w:pPr>
    </w:p>
    <w:p>
      <w:pPr>
        <w:pStyle w:val="10"/>
        <w:adjustRightInd w:val="0"/>
        <w:snapToGrid w:val="0"/>
        <w:ind w:firstLine="198" w:firstLineChars="62"/>
        <w:jc w:val="center"/>
        <w:rPr>
          <w:rFonts w:hint="eastAsia" w:ascii="黑体" w:eastAsia="黑体"/>
          <w:color w:val="000000"/>
          <w:sz w:val="32"/>
          <w:szCs w:val="36"/>
        </w:rPr>
      </w:pPr>
      <w:r>
        <w:rPr>
          <w:rFonts w:hint="eastAsia" w:ascii="黑体" w:eastAsia="黑体"/>
          <w:color w:val="000000"/>
          <w:sz w:val="32"/>
          <w:szCs w:val="36"/>
        </w:rPr>
        <w:t>图2.面部表情疼痛评分量表</w:t>
      </w:r>
    </w:p>
    <w:p>
      <w:pPr>
        <w:pStyle w:val="10"/>
        <w:adjustRightInd w:val="0"/>
        <w:snapToGrid w:val="0"/>
        <w:ind w:firstLine="148" w:firstLineChars="62"/>
        <w:jc w:val="center"/>
        <w:rPr>
          <w:rFonts w:hint="eastAsia" w:ascii="黑体" w:hAnsi="Times New Roman" w:eastAsia="黑体"/>
          <w:color w:val="000000"/>
          <w:kern w:val="0"/>
          <w:sz w:val="24"/>
          <w:szCs w:val="24"/>
        </w:rPr>
      </w:pPr>
    </w:p>
    <w:p>
      <w:pPr>
        <w:pStyle w:val="10"/>
        <w:adjustRightInd w:val="0"/>
        <w:snapToGrid w:val="0"/>
        <w:spacing w:line="360" w:lineRule="auto"/>
        <w:ind w:firstLine="640"/>
        <w:rPr>
          <w:rFonts w:hint="eastAsia" w:ascii="仿宋_GB2312" w:eastAsia="仿宋_GB2312"/>
          <w:color w:val="000000"/>
          <w:sz w:val="32"/>
          <w:szCs w:val="32"/>
        </w:rPr>
      </w:pPr>
      <w:r>
        <w:rPr>
          <w:rFonts w:hint="eastAsia" w:ascii="仿宋_GB2312" w:eastAsia="仿宋_GB2312"/>
          <w:color w:val="000000"/>
          <w:sz w:val="32"/>
          <w:szCs w:val="32"/>
        </w:rPr>
        <w:t>3.主诉疼痛程度分级法(VRS)：主要是根据患者对疼痛的主诉，可将疼痛程度分为轻度、中度、重度三类。</w:t>
      </w:r>
    </w:p>
    <w:p>
      <w:pPr>
        <w:pStyle w:val="10"/>
        <w:adjustRightInd w:val="0"/>
        <w:snapToGrid w:val="0"/>
        <w:spacing w:line="360" w:lineRule="auto"/>
        <w:ind w:firstLine="640"/>
        <w:rPr>
          <w:rFonts w:hint="eastAsia" w:ascii="仿宋_GB2312" w:eastAsia="仿宋_GB2312"/>
          <w:color w:val="000000"/>
          <w:kern w:val="0"/>
          <w:sz w:val="32"/>
          <w:szCs w:val="32"/>
        </w:rPr>
      </w:pPr>
      <w:r>
        <w:rPr>
          <w:rFonts w:hint="eastAsia" w:ascii="仿宋_GB2312" w:eastAsia="仿宋_GB2312"/>
          <w:color w:val="000000"/>
          <w:sz w:val="32"/>
          <w:szCs w:val="32"/>
        </w:rPr>
        <w:t>（1）轻度疼痛：有疼痛，但可忍受，生活正常，睡眠未受到干扰。</w:t>
      </w:r>
    </w:p>
    <w:p>
      <w:pPr>
        <w:pStyle w:val="10"/>
        <w:adjustRightInd w:val="0"/>
        <w:snapToGrid w:val="0"/>
        <w:spacing w:line="360" w:lineRule="auto"/>
        <w:ind w:firstLine="640"/>
        <w:rPr>
          <w:rFonts w:hint="eastAsia" w:ascii="仿宋_GB2312" w:eastAsia="仿宋_GB2312"/>
          <w:color w:val="000000"/>
          <w:sz w:val="32"/>
          <w:szCs w:val="32"/>
        </w:rPr>
      </w:pPr>
      <w:r>
        <w:rPr>
          <w:rFonts w:hint="eastAsia" w:ascii="仿宋_GB2312" w:eastAsia="仿宋_GB2312"/>
          <w:color w:val="000000"/>
          <w:sz w:val="32"/>
          <w:szCs w:val="32"/>
        </w:rPr>
        <w:t>（2）中度疼痛：疼痛明显，不能忍受，要求服用镇痛药物，睡眠受到干扰。</w:t>
      </w:r>
    </w:p>
    <w:p>
      <w:pPr>
        <w:pStyle w:val="10"/>
        <w:adjustRightInd w:val="0"/>
        <w:snapToGrid w:val="0"/>
        <w:spacing w:line="360" w:lineRule="auto"/>
        <w:ind w:firstLine="640"/>
        <w:rPr>
          <w:rFonts w:hint="eastAsia" w:ascii="仿宋_GB2312" w:hAnsi="Times New Roman" w:eastAsia="仿宋_GB2312"/>
          <w:color w:val="000000"/>
          <w:sz w:val="32"/>
          <w:szCs w:val="32"/>
        </w:rPr>
      </w:pPr>
      <w:r>
        <w:rPr>
          <w:rFonts w:hint="eastAsia" w:ascii="仿宋_GB2312" w:eastAsia="仿宋_GB2312"/>
          <w:color w:val="000000"/>
          <w:sz w:val="32"/>
          <w:szCs w:val="32"/>
        </w:rPr>
        <w:t>（3）重度疼痛：疼痛剧烈，不能忍受，需用镇痛药物，睡眠受到严重干扰，可伴有植物神经功能紊乱或被动体位。</w:t>
      </w:r>
    </w:p>
    <w:p>
      <w:pPr>
        <w:pStyle w:val="10"/>
        <w:adjustRightInd w:val="0"/>
        <w:snapToGrid w:val="0"/>
        <w:spacing w:line="360" w:lineRule="auto"/>
        <w:ind w:firstLine="640"/>
        <w:rPr>
          <w:rFonts w:hint="eastAsia" w:ascii="仿宋_GB2312" w:eastAsia="仿宋_GB2312"/>
          <w:color w:val="000000"/>
          <w:sz w:val="32"/>
          <w:szCs w:val="36"/>
        </w:rPr>
      </w:pPr>
      <w:r>
        <w:rPr>
          <w:rFonts w:hint="eastAsia" w:ascii="楷体_GB2312" w:eastAsia="楷体_GB2312"/>
          <w:color w:val="000000"/>
          <w:sz w:val="32"/>
          <w:szCs w:val="32"/>
        </w:rPr>
        <w:t>（三）全面评估原则。</w:t>
      </w:r>
      <w:r>
        <w:rPr>
          <w:rFonts w:hint="eastAsia" w:ascii="仿宋_GB2312" w:eastAsia="仿宋_GB2312"/>
          <w:color w:val="000000"/>
          <w:sz w:val="32"/>
          <w:szCs w:val="36"/>
        </w:rPr>
        <w:t>癌痛全面评估是指对癌症患者的疼痛及相关病情进行全面评估，包括疼痛病因和类型（躯体性、内脏性或神经病理性），疼痛发作情况（疼痛的部位、性质、程度、加重或减轻的因素），止痛治疗情况、重要器官功能情况、心理精神情况，家庭及社会支持情况以及既往史(如精神病史，药物滥用史)等。应当在患者入院后8小时内进行首次评估，并且在24小时内进行全面评估，在治疗过程中，应实施及时、动态评估。</w:t>
      </w:r>
    </w:p>
    <w:p>
      <w:pPr>
        <w:pStyle w:val="10"/>
        <w:adjustRightInd w:val="0"/>
        <w:snapToGrid w:val="0"/>
        <w:spacing w:line="360" w:lineRule="auto"/>
        <w:ind w:firstLine="640"/>
        <w:rPr>
          <w:rFonts w:hint="eastAsia" w:ascii="仿宋_GB2312" w:eastAsia="仿宋_GB2312"/>
          <w:color w:val="000000"/>
          <w:sz w:val="32"/>
          <w:szCs w:val="36"/>
        </w:rPr>
      </w:pPr>
      <w:r>
        <w:rPr>
          <w:rFonts w:hint="eastAsia" w:ascii="仿宋_GB2312" w:eastAsia="仿宋_GB2312"/>
          <w:color w:val="000000"/>
          <w:sz w:val="32"/>
          <w:szCs w:val="36"/>
        </w:rPr>
        <w:t>癌痛全面评估，通常使用《简明疼痛评估量表(BPI)》（见附件2），评估疼痛及其对患者情绪、睡眠、活动能力、食欲、日常生活、行走能力以及与他人交往等生活质量的影响。应当重视和鼓励患者表达对止痛治疗的需求和顾虑，并且根据患者病情和意愿，制定患者功能和生活质量最优化目标，进行个体化的疼痛治疗。</w:t>
      </w:r>
    </w:p>
    <w:p>
      <w:pPr>
        <w:pStyle w:val="10"/>
        <w:adjustRightInd w:val="0"/>
        <w:snapToGrid w:val="0"/>
        <w:spacing w:line="360" w:lineRule="auto"/>
        <w:ind w:firstLine="640"/>
        <w:rPr>
          <w:rFonts w:hint="eastAsia" w:ascii="仿宋_GB2312" w:eastAsia="仿宋_GB2312"/>
          <w:color w:val="000000"/>
          <w:sz w:val="32"/>
          <w:szCs w:val="36"/>
        </w:rPr>
      </w:pPr>
      <w:r>
        <w:rPr>
          <w:rFonts w:hint="eastAsia" w:ascii="楷体_GB2312" w:eastAsia="楷体_GB2312"/>
          <w:color w:val="000000"/>
          <w:sz w:val="32"/>
          <w:szCs w:val="32"/>
        </w:rPr>
        <w:t>（四）动态评估原则。</w:t>
      </w:r>
      <w:r>
        <w:rPr>
          <w:rFonts w:hint="eastAsia" w:ascii="仿宋_GB2312" w:eastAsia="仿宋_GB2312"/>
          <w:color w:val="000000"/>
          <w:sz w:val="32"/>
          <w:szCs w:val="36"/>
        </w:rPr>
        <w:t>癌痛动态评估是指持续性、动态地监测、评估癌痛患者的疼痛症状及变化情况，包括疼痛病因、部位、性质、程度变化情况、爆发性疼痛发作情况、疼痛减轻和加重因素，止痛治疗的效果以及不良反应等。动态评估对于药物止痛治疗中的剂量滴定尤为重要。在止痛治疗期间，应当及时记录用药种类、剂量滴定、疼痛程度及病情变化。</w:t>
      </w:r>
    </w:p>
    <w:p>
      <w:pPr>
        <w:pStyle w:val="10"/>
        <w:adjustRightInd w:val="0"/>
        <w:snapToGrid w:val="0"/>
        <w:spacing w:line="360" w:lineRule="auto"/>
        <w:ind w:firstLine="640"/>
        <w:rPr>
          <w:rFonts w:hint="eastAsia" w:ascii="黑体" w:eastAsia="黑体"/>
          <w:color w:val="000000"/>
          <w:sz w:val="32"/>
          <w:szCs w:val="32"/>
        </w:rPr>
      </w:pPr>
      <w:r>
        <w:rPr>
          <w:rFonts w:hint="eastAsia" w:ascii="黑体" w:eastAsia="黑体"/>
          <w:color w:val="000000"/>
          <w:sz w:val="32"/>
          <w:szCs w:val="32"/>
        </w:rPr>
        <w:t>四、癌痛治疗</w:t>
      </w:r>
    </w:p>
    <w:p>
      <w:pPr>
        <w:pStyle w:val="10"/>
        <w:adjustRightInd w:val="0"/>
        <w:snapToGrid w:val="0"/>
        <w:spacing w:line="360" w:lineRule="auto"/>
        <w:ind w:firstLine="640"/>
        <w:rPr>
          <w:rFonts w:hint="eastAsia" w:ascii="仿宋_GB2312" w:eastAsia="仿宋_GB2312"/>
          <w:color w:val="000000"/>
          <w:sz w:val="32"/>
          <w:szCs w:val="36"/>
        </w:rPr>
      </w:pPr>
      <w:r>
        <w:rPr>
          <w:rFonts w:hint="eastAsia" w:ascii="楷体_GB2312" w:eastAsia="楷体_GB2312"/>
          <w:color w:val="000000"/>
          <w:sz w:val="32"/>
          <w:szCs w:val="32"/>
        </w:rPr>
        <w:t>（一）治疗原则。</w:t>
      </w:r>
      <w:r>
        <w:rPr>
          <w:rFonts w:hint="eastAsia" w:ascii="仿宋_GB2312" w:eastAsia="仿宋_GB2312"/>
          <w:color w:val="000000"/>
          <w:sz w:val="32"/>
          <w:szCs w:val="36"/>
        </w:rPr>
        <w:t>癌痛应当采用综合治疗的原则，根据患者的病情和身体状况，应用恰当的止痛治疗手段，及早、持续、有效地消除疼痛，预防和控制药物的不良反应，降低疼痛和有关治疗带来的心理负担，提高患者生活质量。</w:t>
      </w:r>
    </w:p>
    <w:p>
      <w:pPr>
        <w:pStyle w:val="10"/>
        <w:adjustRightInd w:val="0"/>
        <w:snapToGrid w:val="0"/>
        <w:spacing w:line="360" w:lineRule="auto"/>
        <w:ind w:firstLine="640"/>
        <w:rPr>
          <w:rFonts w:hint="eastAsia" w:ascii="仿宋_GB2312" w:eastAsia="仿宋_GB2312"/>
          <w:color w:val="000000"/>
          <w:sz w:val="32"/>
          <w:szCs w:val="36"/>
        </w:rPr>
      </w:pPr>
      <w:r>
        <w:rPr>
          <w:rFonts w:hint="eastAsia" w:ascii="楷体_GB2312" w:eastAsia="楷体_GB2312"/>
          <w:color w:val="000000"/>
          <w:sz w:val="32"/>
          <w:szCs w:val="32"/>
        </w:rPr>
        <w:t>（二）治疗方法。</w:t>
      </w:r>
      <w:r>
        <w:rPr>
          <w:rFonts w:hint="eastAsia" w:ascii="仿宋_GB2312" w:eastAsia="仿宋_GB2312"/>
          <w:color w:val="000000"/>
          <w:sz w:val="32"/>
          <w:szCs w:val="36"/>
        </w:rPr>
        <w:t>癌痛的治疗方法，包括病因治疗、药物治疗和非药物治疗。</w:t>
      </w:r>
    </w:p>
    <w:p>
      <w:pPr>
        <w:pStyle w:val="2"/>
        <w:adjustRightInd w:val="0"/>
        <w:snapToGrid w:val="0"/>
        <w:spacing w:line="360" w:lineRule="auto"/>
        <w:ind w:firstLine="643" w:firstLineChars="200"/>
        <w:rPr>
          <w:rFonts w:hint="eastAsia" w:ascii="仿宋_GB2312" w:hAnsi="宋体" w:eastAsia="仿宋_GB2312"/>
          <w:b/>
          <w:color w:val="000000"/>
          <w:kern w:val="2"/>
          <w:sz w:val="32"/>
          <w:szCs w:val="32"/>
        </w:rPr>
      </w:pPr>
      <w:r>
        <w:rPr>
          <w:rFonts w:hint="eastAsia" w:ascii="仿宋_GB2312" w:hAnsi="宋体" w:eastAsia="仿宋_GB2312"/>
          <w:b/>
          <w:color w:val="000000"/>
          <w:kern w:val="2"/>
          <w:sz w:val="32"/>
          <w:szCs w:val="32"/>
        </w:rPr>
        <w:t>1.</w:t>
      </w:r>
      <w:r>
        <w:rPr>
          <w:rFonts w:hint="eastAsia" w:ascii="仿宋_GB2312" w:hAnsi="宋体" w:eastAsia="仿宋_GB2312"/>
          <w:b/>
          <w:color w:val="000000"/>
          <w:sz w:val="32"/>
          <w:szCs w:val="32"/>
        </w:rPr>
        <w:t>病因治疗。</w:t>
      </w:r>
      <w:r>
        <w:rPr>
          <w:rFonts w:hint="eastAsia" w:ascii="仿宋_GB2312" w:hAnsi="宋体" w:eastAsia="仿宋_GB2312"/>
          <w:color w:val="000000"/>
          <w:sz w:val="32"/>
          <w:szCs w:val="32"/>
        </w:rPr>
        <w:t>即针对引起癌痛的病因进行治疗。癌痛的主要病因是癌症本身和/或并发症等引起；需要给予针对性的抗癌治疗，包括手术、放射治疗、化学治疗、分子靶向治疗、免疫治疗及中医药等，有可能减轻或解除癌症疼痛。</w:t>
      </w:r>
    </w:p>
    <w:p>
      <w:pPr>
        <w:pStyle w:val="2"/>
        <w:adjustRightInd w:val="0"/>
        <w:snapToGrid w:val="0"/>
        <w:spacing w:line="360" w:lineRule="auto"/>
        <w:ind w:firstLine="643" w:firstLineChars="200"/>
        <w:rPr>
          <w:rFonts w:hint="eastAsia" w:ascii="仿宋_GB2312" w:hAnsi="Times New Roman" w:eastAsia="仿宋_GB2312"/>
          <w:color w:val="000000"/>
          <w:sz w:val="32"/>
          <w:szCs w:val="32"/>
        </w:rPr>
      </w:pPr>
      <w:r>
        <w:rPr>
          <w:rFonts w:hint="eastAsia" w:ascii="仿宋_GB2312" w:hAnsi="宋体" w:eastAsia="仿宋_GB2312"/>
          <w:b/>
          <w:color w:val="000000"/>
          <w:kern w:val="2"/>
          <w:sz w:val="32"/>
          <w:szCs w:val="32"/>
        </w:rPr>
        <w:t>2.药物治疗</w:t>
      </w:r>
    </w:p>
    <w:p>
      <w:pPr>
        <w:pStyle w:val="2"/>
        <w:adjustRightInd w:val="0"/>
        <w:snapToGrid w:val="0"/>
        <w:spacing w:line="360" w:lineRule="auto"/>
        <w:ind w:firstLine="643" w:firstLineChars="200"/>
        <w:rPr>
          <w:rFonts w:hint="eastAsia" w:ascii="仿宋_GB2312" w:hAnsi="Times New Roman" w:eastAsia="仿宋_GB2312"/>
          <w:color w:val="000000"/>
          <w:sz w:val="32"/>
          <w:szCs w:val="32"/>
        </w:rPr>
      </w:pPr>
      <w:r>
        <w:rPr>
          <w:rFonts w:hint="eastAsia" w:ascii="仿宋_GB2312" w:hAnsi="Times New Roman" w:eastAsia="仿宋_GB2312"/>
          <w:b/>
          <w:color w:val="000000"/>
          <w:sz w:val="32"/>
          <w:szCs w:val="32"/>
        </w:rPr>
        <w:t>（1）基本</w:t>
      </w:r>
      <w:r>
        <w:rPr>
          <w:rFonts w:hint="eastAsia" w:ascii="仿宋_GB2312" w:hAnsi="宋体" w:eastAsia="仿宋_GB2312"/>
          <w:b/>
          <w:color w:val="000000"/>
          <w:sz w:val="32"/>
          <w:szCs w:val="32"/>
        </w:rPr>
        <w:t>原则。</w:t>
      </w:r>
      <w:r>
        <w:rPr>
          <w:rFonts w:hint="eastAsia" w:ascii="仿宋_GB2312" w:hAnsi="宋体" w:eastAsia="仿宋_GB2312"/>
          <w:color w:val="000000"/>
          <w:sz w:val="32"/>
          <w:szCs w:val="32"/>
        </w:rPr>
        <w:t>根据世界卫生组织（</w:t>
      </w:r>
      <w:r>
        <w:rPr>
          <w:rFonts w:hint="eastAsia" w:ascii="仿宋_GB2312" w:hAnsi="Times New Roman" w:eastAsia="仿宋_GB2312"/>
          <w:color w:val="000000"/>
          <w:sz w:val="32"/>
          <w:szCs w:val="32"/>
        </w:rPr>
        <w:t>WHO</w:t>
      </w:r>
      <w:r>
        <w:rPr>
          <w:rFonts w:hint="eastAsia" w:ascii="仿宋_GB2312" w:hAnsi="宋体" w:eastAsia="仿宋_GB2312"/>
          <w:color w:val="000000"/>
          <w:sz w:val="32"/>
          <w:szCs w:val="32"/>
        </w:rPr>
        <w:t>）《癌痛三阶梯止痛治疗指南》进行改良，癌痛药物止痛治疗的五项基本原则如下：</w:t>
      </w:r>
    </w:p>
    <w:p>
      <w:pPr>
        <w:pStyle w:val="2"/>
        <w:adjustRightInd w:val="0"/>
        <w:snapToGrid w:val="0"/>
        <w:spacing w:line="360" w:lineRule="auto"/>
        <w:ind w:firstLine="643" w:firstLineChars="200"/>
        <w:rPr>
          <w:rFonts w:hint="eastAsia" w:ascii="仿宋_GB2312" w:hAnsi="Times New Roman" w:eastAsia="仿宋_GB2312"/>
          <w:color w:val="000000"/>
          <w:sz w:val="32"/>
          <w:szCs w:val="32"/>
        </w:rPr>
      </w:pPr>
      <w:bookmarkStart w:id="17" w:name="OLE_LINK42"/>
      <w:r>
        <w:rPr>
          <w:rFonts w:hint="eastAsia" w:ascii="仿宋_GB2312" w:hAnsi="宋体" w:eastAsia="仿宋_GB2312"/>
          <w:b/>
          <w:color w:val="000000"/>
          <w:sz w:val="32"/>
          <w:szCs w:val="32"/>
        </w:rPr>
        <w:t>1）口服给药。</w:t>
      </w:r>
      <w:r>
        <w:rPr>
          <w:rFonts w:hint="eastAsia" w:ascii="仿宋_GB2312" w:hAnsi="宋体" w:eastAsia="仿宋_GB2312"/>
          <w:color w:val="000000"/>
          <w:sz w:val="32"/>
          <w:szCs w:val="32"/>
        </w:rPr>
        <w:t>口服方便，也是最常用的给药途径</w:t>
      </w:r>
      <w:bookmarkEnd w:id="17"/>
      <w:r>
        <w:rPr>
          <w:rFonts w:hint="eastAsia" w:ascii="仿宋_GB2312" w:hAnsi="宋体" w:eastAsia="仿宋_GB2312"/>
          <w:color w:val="000000"/>
          <w:sz w:val="32"/>
          <w:szCs w:val="32"/>
        </w:rPr>
        <w:t>；还可以根据患者的具体情况选用其他给药途径，包括静脉、皮下、直肠和经皮给药等。</w:t>
      </w:r>
    </w:p>
    <w:p>
      <w:pPr>
        <w:pStyle w:val="2"/>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Times New Roman" w:eastAsia="仿宋_GB2312"/>
          <w:b/>
          <w:color w:val="000000"/>
          <w:sz w:val="32"/>
          <w:szCs w:val="32"/>
        </w:rPr>
        <w:t>2）</w:t>
      </w:r>
      <w:r>
        <w:rPr>
          <w:rFonts w:hint="eastAsia" w:ascii="仿宋_GB2312" w:hAnsi="宋体" w:eastAsia="仿宋_GB2312"/>
          <w:b/>
          <w:color w:val="000000"/>
          <w:sz w:val="32"/>
          <w:szCs w:val="32"/>
        </w:rPr>
        <w:t>按阶梯用药。</w:t>
      </w:r>
      <w:r>
        <w:rPr>
          <w:rFonts w:hint="eastAsia" w:ascii="仿宋_GB2312" w:hAnsi="宋体" w:eastAsia="仿宋_GB2312"/>
          <w:color w:val="000000"/>
          <w:sz w:val="32"/>
          <w:szCs w:val="32"/>
        </w:rPr>
        <w:t>指应当根据患者疼痛程度，有针对性地选用不同性质、作用强度的镇痛药物。</w:t>
      </w:r>
    </w:p>
    <w:p>
      <w:pPr>
        <w:pStyle w:val="2"/>
        <w:adjustRightInd w:val="0"/>
        <w:snapToGrid w:val="0"/>
        <w:spacing w:line="360" w:lineRule="auto"/>
        <w:ind w:firstLine="400" w:firstLineChars="200"/>
        <w:rPr>
          <w:rFonts w:hint="eastAsia" w:ascii="仿宋_GB2312" w:hAnsi="宋体" w:eastAsia="仿宋_GB2312"/>
          <w:color w:val="000000"/>
          <w:sz w:val="32"/>
          <w:szCs w:val="32"/>
        </w:rPr>
      </w:pPr>
      <w:r>
        <w:rPr>
          <w:rFonts w:hint="eastAsia"/>
        </w:rPr>
        <w:fldChar w:fldCharType="begin"/>
      </w:r>
      <w:r>
        <w:rPr>
          <w:rFonts w:hint="eastAsia" w:ascii="仿宋_GB2312" w:hAnsi="宋体" w:eastAsia="仿宋_GB2312"/>
          <w:color w:val="000000"/>
          <w:sz w:val="32"/>
          <w:szCs w:val="32"/>
        </w:rPr>
        <w:instrText xml:space="preserve"> = 1 \* GB3 </w:instrText>
      </w:r>
      <w:r>
        <w:fldChar w:fldCharType="separate"/>
      </w:r>
      <w:r>
        <w:rPr>
          <w:rFonts w:hint="eastAsia" w:ascii="仿宋_GB2312" w:hAnsi="宋体" w:eastAsia="仿宋_GB2312"/>
          <w:color w:val="000000"/>
          <w:sz w:val="32"/>
          <w:szCs w:val="32"/>
        </w:rPr>
        <w:t>①</w:t>
      </w:r>
      <w:r>
        <w:rPr>
          <w:rFonts w:hint="eastAsia"/>
        </w:rPr>
        <w:fldChar w:fldCharType="end"/>
      </w:r>
      <w:r>
        <w:rPr>
          <w:rFonts w:hint="eastAsia" w:ascii="仿宋_GB2312" w:hAnsi="宋体" w:eastAsia="仿宋_GB2312"/>
          <w:color w:val="000000"/>
          <w:sz w:val="32"/>
          <w:szCs w:val="32"/>
        </w:rPr>
        <w:t>轻度疼痛：可选用非甾体类抗炎药物</w:t>
      </w:r>
      <w:r>
        <w:rPr>
          <w:rFonts w:hint="eastAsia" w:ascii="仿宋_GB2312" w:hAnsi="Times New Roman" w:eastAsia="仿宋_GB2312"/>
          <w:color w:val="000000"/>
          <w:sz w:val="32"/>
          <w:szCs w:val="32"/>
        </w:rPr>
        <w:t>(NSAID)</w:t>
      </w:r>
      <w:r>
        <w:rPr>
          <w:rFonts w:hint="eastAsia" w:ascii="仿宋_GB2312" w:hAnsi="宋体" w:eastAsia="仿宋_GB2312"/>
          <w:color w:val="000000"/>
          <w:sz w:val="32"/>
          <w:szCs w:val="32"/>
        </w:rPr>
        <w:t>。</w:t>
      </w:r>
    </w:p>
    <w:p>
      <w:pPr>
        <w:pStyle w:val="2"/>
        <w:adjustRightInd w:val="0"/>
        <w:snapToGrid w:val="0"/>
        <w:spacing w:line="360" w:lineRule="auto"/>
        <w:ind w:firstLine="400" w:firstLineChars="200"/>
        <w:rPr>
          <w:rFonts w:hint="eastAsia" w:ascii="仿宋_GB2312" w:hAnsi="宋体" w:eastAsia="仿宋_GB2312"/>
          <w:color w:val="000000"/>
          <w:sz w:val="32"/>
          <w:szCs w:val="32"/>
        </w:rPr>
      </w:pPr>
      <w:r>
        <w:rPr>
          <w:rFonts w:hint="eastAsia"/>
        </w:rPr>
        <w:fldChar w:fldCharType="begin"/>
      </w:r>
      <w:r>
        <w:rPr>
          <w:rFonts w:hint="eastAsia" w:ascii="仿宋_GB2312" w:hAnsi="宋体" w:eastAsia="仿宋_GB2312"/>
          <w:color w:val="000000"/>
          <w:sz w:val="32"/>
          <w:szCs w:val="32"/>
        </w:rPr>
        <w:instrText xml:space="preserve"> = 2 \* GB3 </w:instrText>
      </w:r>
      <w:r>
        <w:fldChar w:fldCharType="separate"/>
      </w:r>
      <w:r>
        <w:rPr>
          <w:rFonts w:hint="eastAsia" w:ascii="仿宋_GB2312" w:hAnsi="宋体" w:eastAsia="仿宋_GB2312"/>
          <w:color w:val="000000"/>
          <w:sz w:val="32"/>
          <w:szCs w:val="32"/>
        </w:rPr>
        <w:t>②</w:t>
      </w:r>
      <w:r>
        <w:rPr>
          <w:rFonts w:hint="eastAsia"/>
        </w:rPr>
        <w:fldChar w:fldCharType="end"/>
      </w:r>
      <w:r>
        <w:rPr>
          <w:rFonts w:hint="eastAsia" w:ascii="仿宋_GB2312" w:hAnsi="宋体" w:eastAsia="仿宋_GB2312"/>
          <w:color w:val="000000"/>
          <w:sz w:val="32"/>
          <w:szCs w:val="32"/>
        </w:rPr>
        <w:t>中度疼痛：可选用弱阿片类药物或低剂量的强阿片类药物，并可联合应用非甾体类抗炎药物以及</w:t>
      </w:r>
      <w:r>
        <w:rPr>
          <w:rFonts w:hint="eastAsia" w:ascii="仿宋_GB2312" w:eastAsia="仿宋_GB2312" w:cs="仿宋_GB2312"/>
          <w:sz w:val="32"/>
          <w:szCs w:val="32"/>
        </w:rPr>
        <w:t>辅助镇痛药物(镇静剂、抗惊厥类药物和抗抑郁类药物等)。</w:t>
      </w:r>
    </w:p>
    <w:p>
      <w:pPr>
        <w:pStyle w:val="2"/>
        <w:adjustRightInd w:val="0"/>
        <w:snapToGrid w:val="0"/>
        <w:spacing w:line="360" w:lineRule="auto"/>
        <w:ind w:firstLine="400" w:firstLineChars="200"/>
        <w:rPr>
          <w:rFonts w:hint="eastAsia" w:ascii="仿宋_GB2312" w:hAnsi="宋体" w:eastAsia="仿宋_GB2312"/>
          <w:color w:val="000000"/>
          <w:sz w:val="32"/>
          <w:szCs w:val="32"/>
        </w:rPr>
      </w:pPr>
      <w:r>
        <w:rPr>
          <w:rFonts w:hint="eastAsia"/>
        </w:rPr>
        <w:fldChar w:fldCharType="begin"/>
      </w:r>
      <w:r>
        <w:rPr>
          <w:rFonts w:hint="eastAsia" w:ascii="仿宋_GB2312" w:hAnsi="宋体" w:eastAsia="仿宋_GB2312"/>
          <w:color w:val="000000"/>
          <w:sz w:val="32"/>
          <w:szCs w:val="32"/>
        </w:rPr>
        <w:instrText xml:space="preserve"> = 3 \* GB3 </w:instrText>
      </w:r>
      <w:r>
        <w:fldChar w:fldCharType="separate"/>
      </w:r>
      <w:r>
        <w:rPr>
          <w:rFonts w:hint="eastAsia" w:ascii="仿宋_GB2312" w:hAnsi="宋体" w:eastAsia="仿宋_GB2312"/>
          <w:color w:val="000000"/>
          <w:sz w:val="32"/>
          <w:szCs w:val="32"/>
        </w:rPr>
        <w:t>③</w:t>
      </w:r>
      <w:r>
        <w:rPr>
          <w:rFonts w:hint="eastAsia"/>
        </w:rPr>
        <w:fldChar w:fldCharType="end"/>
      </w:r>
      <w:r>
        <w:rPr>
          <w:rFonts w:hint="eastAsia" w:ascii="仿宋_GB2312" w:hAnsi="宋体" w:eastAsia="仿宋_GB2312"/>
          <w:color w:val="000000"/>
          <w:sz w:val="32"/>
          <w:szCs w:val="32"/>
        </w:rPr>
        <w:t>重度疼痛：首选强阿片类药，并可合用非甾体类抗炎药物以及辅助镇痛药物(镇静剂、抗惊厥类药物和抗抑郁类药物等)。</w:t>
      </w:r>
    </w:p>
    <w:p>
      <w:pPr>
        <w:pStyle w:val="2"/>
        <w:adjustRightInd w:val="0"/>
        <w:snapToGrid w:val="0"/>
        <w:spacing w:line="360" w:lineRule="auto"/>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在使用阿片类药物治疗的同时，适当地联合应用非甾体类抗炎药物，可以增强阿片类药物的止痛效果，并可减少阿片类药物用量。如果能达到良好的镇痛效果，且无严重的不良反应，轻度和中度疼痛时也可考虑使用强阿片类药物。如果患者诊断为神经病理性疼痛，应首选三环类抗抑郁药物或抗惊厥类药物等。如果是癌症骨转移引起的疼痛，应该联合使用双膦酸盐类药物，抑制溶骨活动。</w:t>
      </w:r>
    </w:p>
    <w:p>
      <w:pPr>
        <w:pStyle w:val="2"/>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rPr>
        <w:t>3）按时用药。</w:t>
      </w:r>
      <w:r>
        <w:rPr>
          <w:rFonts w:hint="eastAsia" w:ascii="仿宋_GB2312" w:hAnsi="宋体" w:eastAsia="仿宋_GB2312"/>
          <w:color w:val="000000"/>
          <w:sz w:val="32"/>
          <w:szCs w:val="32"/>
        </w:rPr>
        <w:t>指按规定时间间隔规律性给予止痛药。按时给药有助于维持稳定、有效的血药浓度。目前，缓释药物的使用日益广泛，建议以速释阿片类药物进行剂量滴定，以缓释阿片药物作为基础用药的止痛方法；出现爆发痛时，可给予速释阿片类药物对症处理。</w:t>
      </w:r>
    </w:p>
    <w:p>
      <w:pPr>
        <w:pStyle w:val="2"/>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rPr>
        <w:t>4）个体化给药。</w:t>
      </w:r>
      <w:r>
        <w:rPr>
          <w:rFonts w:hint="eastAsia" w:ascii="仿宋_GB2312" w:hAnsi="宋体" w:eastAsia="仿宋_GB2312"/>
          <w:color w:val="000000"/>
          <w:sz w:val="32"/>
          <w:szCs w:val="32"/>
        </w:rPr>
        <w:t>指按照患者病情和癌痛缓解药物剂量，制定个体化用药方案。由于患者个体差异明显，在使用阿片类药物时，并无标准的用药剂量，应当根据患者的病情，使用足够剂量的药物，尽可能使疼痛得到缓解。同时，还应鉴别是否有神经病理性疼痛的性质，考虑联合用药的可能。</w:t>
      </w:r>
    </w:p>
    <w:p>
      <w:pPr>
        <w:pStyle w:val="2"/>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宋体" w:eastAsia="仿宋_GB2312"/>
          <w:b/>
          <w:color w:val="000000"/>
          <w:sz w:val="32"/>
          <w:szCs w:val="32"/>
        </w:rPr>
        <w:t>5）注意具体细节。</w:t>
      </w:r>
      <w:r>
        <w:rPr>
          <w:rFonts w:hint="eastAsia" w:ascii="仿宋_GB2312" w:hAnsi="宋体" w:eastAsia="仿宋_GB2312"/>
          <w:color w:val="000000"/>
          <w:sz w:val="32"/>
          <w:szCs w:val="32"/>
        </w:rPr>
        <w:t>对使用止痛药的患者要加强监护，密切观察其疼痛缓解程度和机体反应情况，注意药物联合应用时的相互作用，并且及时采取必要措施尽可能地减少药物的不良反应，以提高患者的生活质量。</w:t>
      </w:r>
    </w:p>
    <w:p>
      <w:pPr>
        <w:pStyle w:val="2"/>
        <w:adjustRightInd w:val="0"/>
        <w:snapToGrid w:val="0"/>
        <w:spacing w:line="360" w:lineRule="auto"/>
        <w:rPr>
          <w:rFonts w:hint="eastAsia" w:ascii="仿宋_GB2312" w:hAnsi="宋体" w:eastAsia="仿宋_GB2312"/>
          <w:color w:val="000000"/>
          <w:sz w:val="32"/>
          <w:szCs w:val="32"/>
        </w:rPr>
      </w:pPr>
      <w:r>
        <w:rPr>
          <w:rFonts w:hint="eastAsia" w:ascii="仿宋_GB2312" w:hAnsi="Times New Roman" w:eastAsia="仿宋_GB2312"/>
          <w:b/>
          <w:color w:val="000000"/>
          <w:sz w:val="32"/>
          <w:szCs w:val="32"/>
        </w:rPr>
        <w:t xml:space="preserve">  （2）</w:t>
      </w:r>
      <w:r>
        <w:rPr>
          <w:rFonts w:hint="eastAsia" w:ascii="仿宋_GB2312" w:hAnsi="宋体" w:eastAsia="仿宋_GB2312"/>
          <w:b/>
          <w:color w:val="000000"/>
          <w:sz w:val="32"/>
          <w:szCs w:val="32"/>
        </w:rPr>
        <w:t xml:space="preserve">药物选择与使用方法 </w:t>
      </w:r>
      <w:r>
        <w:rPr>
          <w:rFonts w:hint="eastAsia" w:ascii="仿宋_GB2312" w:hAnsi="宋体" w:eastAsia="仿宋_GB2312"/>
          <w:color w:val="000000"/>
          <w:sz w:val="32"/>
          <w:szCs w:val="32"/>
        </w:rPr>
        <w:t>应当根据癌症患者疼痛的性质、程度、正在接受的治疗和伴随疾病等情况，合理地选择止痛药物和辅助镇痛药物，个体化调整用药剂量、给药频率，积极防治不良反应，以期获得最佳止痛效果，且减少不良反应。</w:t>
      </w:r>
    </w:p>
    <w:p>
      <w:pPr>
        <w:pStyle w:val="2"/>
        <w:adjustRightInd w:val="0"/>
        <w:snapToGrid w:val="0"/>
        <w:spacing w:line="360" w:lineRule="auto"/>
        <w:ind w:firstLine="643" w:firstLineChars="200"/>
        <w:rPr>
          <w:rFonts w:hint="eastAsia" w:ascii="仿宋_GB2312" w:hAnsi="宋体" w:eastAsia="仿宋_GB2312"/>
          <w:color w:val="000000"/>
          <w:sz w:val="32"/>
          <w:szCs w:val="32"/>
        </w:rPr>
      </w:pPr>
      <w:bookmarkStart w:id="18" w:name="OLE_LINK28"/>
      <w:bookmarkStart w:id="19" w:name="OLE_LINK29"/>
      <w:r>
        <w:rPr>
          <w:rFonts w:hint="eastAsia" w:ascii="仿宋_GB2312" w:hAnsi="Times New Roman" w:eastAsia="仿宋_GB2312"/>
          <w:b/>
          <w:color w:val="000000"/>
          <w:sz w:val="32"/>
          <w:szCs w:val="32"/>
        </w:rPr>
        <w:t>1）</w:t>
      </w:r>
      <w:r>
        <w:rPr>
          <w:rFonts w:hint="eastAsia" w:ascii="仿宋_GB2312" w:hAnsi="宋体" w:eastAsia="仿宋_GB2312"/>
          <w:b/>
          <w:color w:val="000000"/>
          <w:sz w:val="32"/>
          <w:szCs w:val="32"/>
        </w:rPr>
        <w:t>非甾体类抗炎药物和对乙酰氨基酚</w:t>
      </w:r>
      <w:bookmarkEnd w:id="18"/>
      <w:bookmarkEnd w:id="19"/>
      <w:r>
        <w:rPr>
          <w:rFonts w:hint="eastAsia" w:ascii="仿宋_GB2312" w:hAnsi="宋体" w:eastAsia="仿宋_GB2312"/>
          <w:b/>
          <w:color w:val="000000"/>
          <w:sz w:val="32"/>
          <w:szCs w:val="32"/>
        </w:rPr>
        <w:t>。</w:t>
      </w:r>
      <w:r>
        <w:rPr>
          <w:rFonts w:hint="eastAsia" w:ascii="仿宋_GB2312" w:hAnsi="宋体" w:eastAsia="仿宋_GB2312"/>
          <w:color w:val="000000"/>
          <w:sz w:val="32"/>
          <w:szCs w:val="32"/>
        </w:rPr>
        <w:t>是癌痛治疗的常用药物。不同非甾体类抗炎药有相似的作用机制，具有止痛和抗炎作用，常用于缓解轻度疼痛，或与阿片类药物联合用于缓解中、重度疼痛。</w:t>
      </w:r>
    </w:p>
    <w:p>
      <w:pPr>
        <w:pStyle w:val="2"/>
        <w:adjustRightInd w:val="0"/>
        <w:snapToGrid w:val="0"/>
        <w:spacing w:line="360" w:lineRule="auto"/>
        <w:ind w:firstLine="640" w:firstLineChars="200"/>
        <w:rPr>
          <w:rFonts w:hint="eastAsia" w:ascii="仿宋_GB2312" w:hAnsi="宋体" w:eastAsia="仿宋_GB2312"/>
          <w:color w:val="000000"/>
          <w:sz w:val="32"/>
          <w:szCs w:val="32"/>
        </w:rPr>
      </w:pPr>
      <w:bookmarkStart w:id="20" w:name="OLE_LINK19"/>
      <w:r>
        <w:rPr>
          <w:rFonts w:hint="eastAsia" w:ascii="仿宋_GB2312" w:hAnsi="宋体" w:eastAsia="仿宋_GB2312"/>
          <w:color w:val="000000"/>
          <w:sz w:val="32"/>
          <w:szCs w:val="32"/>
        </w:rPr>
        <w:t>非甾体类抗炎药常见有不良反应，包括消化性溃疡、消化道出血、血小板功能障碍、肾功能损伤、肝功能损伤以及心脏毒性等。</w:t>
      </w:r>
      <w:bookmarkEnd w:id="20"/>
      <w:r>
        <w:rPr>
          <w:rFonts w:hint="eastAsia" w:ascii="仿宋_GB2312" w:hAnsi="宋体" w:eastAsia="仿宋_GB2312"/>
          <w:color w:val="000000"/>
          <w:sz w:val="32"/>
          <w:szCs w:val="32"/>
        </w:rPr>
        <w:t>这些不良反应的发生，与用药剂量和持续时间使用相关。使用非甾体类抗炎药，用药剂量达到一定水平以上时，再增加用药剂量并不能增强其止痛效果，可是药物毒性反应将明显增加。因此，如果需要长期使用非甾体类抗炎药或对乙酰氨基酚，或日用剂量已达到限制性用量时，应考虑更换为单用阿片类止痛药；如为联合用药，则只增加阿片类止痛药用药剂量，不得增加非甾体类抗炎药物和对乙酰氨基酚剂量。</w:t>
      </w:r>
    </w:p>
    <w:p>
      <w:pPr>
        <w:pStyle w:val="2"/>
        <w:adjustRightInd w:val="0"/>
        <w:snapToGrid w:val="0"/>
        <w:spacing w:line="360" w:lineRule="auto"/>
        <w:ind w:firstLine="643" w:firstLineChars="200"/>
        <w:rPr>
          <w:rFonts w:hint="eastAsia" w:ascii="仿宋_GB2312" w:hAnsi="宋体" w:eastAsia="仿宋_GB2312"/>
          <w:color w:val="000000"/>
          <w:sz w:val="32"/>
          <w:szCs w:val="32"/>
        </w:rPr>
      </w:pPr>
      <w:r>
        <w:rPr>
          <w:rFonts w:hint="eastAsia" w:ascii="仿宋_GB2312" w:hAnsi="Times New Roman" w:eastAsia="仿宋_GB2312"/>
          <w:b/>
          <w:color w:val="000000"/>
          <w:sz w:val="32"/>
          <w:szCs w:val="32"/>
        </w:rPr>
        <w:t>2）</w:t>
      </w:r>
      <w:r>
        <w:rPr>
          <w:rFonts w:hint="eastAsia" w:ascii="仿宋_GB2312" w:hAnsi="宋体" w:eastAsia="仿宋_GB2312"/>
          <w:b/>
          <w:color w:val="000000"/>
          <w:sz w:val="32"/>
          <w:szCs w:val="32"/>
        </w:rPr>
        <w:t>阿片类药物。</w:t>
      </w:r>
      <w:r>
        <w:rPr>
          <w:rFonts w:hint="eastAsia" w:ascii="仿宋_GB2312" w:hAnsi="宋体" w:eastAsia="仿宋_GB2312"/>
          <w:color w:val="000000"/>
          <w:sz w:val="32"/>
          <w:szCs w:val="32"/>
        </w:rPr>
        <w:t>是中、重度癌痛治疗的首选药物。对于慢性癌痛治疗，推荐选择阿片受体激动剂类药物。长期使用阿片类止痛药时，首选口服给药途径，有明确指征时可选用透皮吸收途径给药，也可临时皮下注射用药，必要时可以自控镇痛给药。</w:t>
      </w:r>
    </w:p>
    <w:p>
      <w:pPr>
        <w:pStyle w:val="2"/>
        <w:adjustRightInd w:val="0"/>
        <w:snapToGrid w:val="0"/>
        <w:spacing w:line="360" w:lineRule="auto"/>
        <w:ind w:firstLine="400" w:firstLineChars="200"/>
        <w:rPr>
          <w:rFonts w:hint="eastAsia" w:ascii="仿宋_GB2312" w:hAnsi="宋体" w:eastAsia="仿宋_GB2312"/>
          <w:color w:val="000000"/>
          <w:sz w:val="32"/>
          <w:szCs w:val="32"/>
        </w:rPr>
      </w:pPr>
      <w:bookmarkStart w:id="21" w:name="OLE_LINK35"/>
      <w:bookmarkStart w:id="22" w:name="OLE_LINK36"/>
      <w:r>
        <w:rPr>
          <w:rFonts w:hint="eastAsia"/>
        </w:rPr>
        <w:fldChar w:fldCharType="begin"/>
      </w:r>
      <w:r>
        <w:rPr>
          <w:rFonts w:hint="eastAsia" w:ascii="仿宋_GB2312" w:hAnsi="Times New Roman" w:eastAsia="仿宋_GB2312"/>
          <w:b/>
          <w:color w:val="000000"/>
          <w:sz w:val="32"/>
          <w:szCs w:val="32"/>
        </w:rPr>
        <w:instrText xml:space="preserve"> = 1 \* GB3 </w:instrText>
      </w:r>
      <w:r>
        <w:fldChar w:fldCharType="separate"/>
      </w:r>
      <w:r>
        <w:rPr>
          <w:rFonts w:hint="eastAsia" w:ascii="仿宋_GB2312" w:hAnsi="Times New Roman" w:eastAsia="仿宋_GB2312"/>
          <w:b/>
          <w:color w:val="000000"/>
          <w:sz w:val="32"/>
          <w:szCs w:val="32"/>
        </w:rPr>
        <w:t>①</w:t>
      </w:r>
      <w:r>
        <w:rPr>
          <w:rFonts w:hint="eastAsia"/>
        </w:rPr>
        <w:fldChar w:fldCharType="end"/>
      </w:r>
      <w:r>
        <w:rPr>
          <w:rFonts w:hint="eastAsia" w:ascii="仿宋_GB2312" w:hAnsi="Times New Roman" w:eastAsia="仿宋_GB2312"/>
          <w:b/>
          <w:color w:val="000000"/>
          <w:sz w:val="32"/>
          <w:szCs w:val="32"/>
        </w:rPr>
        <w:t xml:space="preserve"> </w:t>
      </w:r>
      <w:r>
        <w:rPr>
          <w:rFonts w:hint="eastAsia" w:ascii="仿宋_GB2312" w:hAnsi="宋体" w:eastAsia="仿宋_GB2312"/>
          <w:b/>
          <w:color w:val="000000"/>
          <w:sz w:val="32"/>
          <w:szCs w:val="32"/>
        </w:rPr>
        <w:t>初始剂量滴定。</w:t>
      </w:r>
      <w:r>
        <w:rPr>
          <w:rFonts w:hint="eastAsia" w:ascii="仿宋_GB2312" w:hAnsi="宋体" w:eastAsia="仿宋_GB2312"/>
          <w:color w:val="000000"/>
          <w:sz w:val="32"/>
          <w:szCs w:val="32"/>
        </w:rPr>
        <w:t>阿片类止痛药的有效性和安全性存在较大的个体差异，需要逐渐调整剂量，以获得最佳用药剂量，称为剂量滴定。对于初次使用阿片类药物止痛的患者，建议按照如下原则进行滴定：使用吗啡即释片进行治疗；根据疼痛程度，拟定初始固定剂量5-15mg，口服，Q4h或按需给药；</w:t>
      </w:r>
      <w:bookmarkEnd w:id="21"/>
      <w:bookmarkEnd w:id="22"/>
      <w:r>
        <w:rPr>
          <w:rFonts w:hint="eastAsia" w:ascii="仿宋_GB2312" w:hAnsi="宋体" w:eastAsia="仿宋_GB2312"/>
          <w:color w:val="000000"/>
          <w:sz w:val="32"/>
          <w:szCs w:val="32"/>
        </w:rPr>
        <w:t>用药后疼痛不缓解或缓解不满意，应于1小时后根据疼痛程度给予滴定剂量（见表1），密切观察疼痛程度、疗效及药物不良反应。第1天治疗结束后，计算次日药物剂量：次日总固定量</w:t>
      </w:r>
      <w:r>
        <w:rPr>
          <w:rFonts w:hint="eastAsia" w:ascii="仿宋_GB2312" w:hAnsi="Times New Roman" w:eastAsia="仿宋_GB2312"/>
          <w:color w:val="000000"/>
          <w:sz w:val="32"/>
          <w:szCs w:val="32"/>
        </w:rPr>
        <w:t>=</w:t>
      </w:r>
      <w:r>
        <w:rPr>
          <w:rFonts w:hint="eastAsia" w:ascii="仿宋_GB2312" w:hAnsi="宋体" w:eastAsia="仿宋_GB2312"/>
          <w:color w:val="000000"/>
          <w:sz w:val="32"/>
          <w:szCs w:val="32"/>
        </w:rPr>
        <w:t>前</w:t>
      </w:r>
      <w:r>
        <w:rPr>
          <w:rFonts w:hint="eastAsia" w:ascii="仿宋_GB2312" w:hAnsi="Times New Roman" w:eastAsia="仿宋_GB2312"/>
          <w:color w:val="000000"/>
          <w:sz w:val="32"/>
          <w:szCs w:val="32"/>
        </w:rPr>
        <w:t>24</w:t>
      </w:r>
      <w:r>
        <w:rPr>
          <w:rFonts w:hint="eastAsia" w:ascii="仿宋_GB2312" w:hAnsi="宋体" w:eastAsia="仿宋_GB2312"/>
          <w:color w:val="000000"/>
          <w:sz w:val="32"/>
          <w:szCs w:val="32"/>
        </w:rPr>
        <w:t>小时总固定量</w:t>
      </w:r>
      <w:r>
        <w:rPr>
          <w:rFonts w:hint="eastAsia" w:ascii="仿宋_GB2312" w:hAnsi="Times New Roman" w:eastAsia="仿宋_GB2312"/>
          <w:color w:val="000000"/>
          <w:sz w:val="32"/>
          <w:szCs w:val="32"/>
        </w:rPr>
        <w:t>+</w:t>
      </w:r>
      <w:r>
        <w:rPr>
          <w:rFonts w:hint="eastAsia" w:ascii="仿宋_GB2312" w:hAnsi="宋体" w:eastAsia="仿宋_GB2312"/>
          <w:color w:val="000000"/>
          <w:sz w:val="32"/>
          <w:szCs w:val="32"/>
        </w:rPr>
        <w:t>前日总滴定量。次日治疗时，将计算所得的次日总固定量分</w:t>
      </w:r>
      <w:r>
        <w:rPr>
          <w:rFonts w:hint="eastAsia" w:ascii="仿宋_GB2312" w:hAnsi="Times New Roman" w:eastAsia="仿宋_GB2312"/>
          <w:color w:val="000000"/>
          <w:sz w:val="32"/>
          <w:szCs w:val="32"/>
        </w:rPr>
        <w:t>6</w:t>
      </w:r>
      <w:r>
        <w:rPr>
          <w:rFonts w:hint="eastAsia" w:ascii="仿宋_GB2312" w:hAnsi="宋体" w:eastAsia="仿宋_GB2312"/>
          <w:color w:val="000000"/>
          <w:sz w:val="32"/>
          <w:szCs w:val="32"/>
        </w:rPr>
        <w:t>次口服，次日滴定量为前</w:t>
      </w:r>
      <w:r>
        <w:rPr>
          <w:rFonts w:hint="eastAsia" w:ascii="仿宋_GB2312" w:hAnsi="Times New Roman" w:eastAsia="仿宋_GB2312"/>
          <w:color w:val="000000"/>
          <w:sz w:val="32"/>
          <w:szCs w:val="32"/>
        </w:rPr>
        <w:t>24</w:t>
      </w:r>
      <w:r>
        <w:rPr>
          <w:rFonts w:hint="eastAsia" w:ascii="仿宋_GB2312" w:hAnsi="宋体" w:eastAsia="仿宋_GB2312"/>
          <w:color w:val="000000"/>
          <w:sz w:val="32"/>
          <w:szCs w:val="32"/>
        </w:rPr>
        <w:t>小时总固定量的</w:t>
      </w:r>
      <w:r>
        <w:rPr>
          <w:rFonts w:hint="eastAsia" w:ascii="仿宋_GB2312" w:hAnsi="Times New Roman" w:eastAsia="仿宋_GB2312"/>
          <w:color w:val="000000"/>
          <w:sz w:val="32"/>
          <w:szCs w:val="32"/>
        </w:rPr>
        <w:t>10</w:t>
      </w:r>
      <w:r>
        <w:rPr>
          <w:rFonts w:hint="eastAsia" w:ascii="仿宋_GB2312" w:hAnsi="宋体" w:eastAsia="仿宋_GB2312"/>
          <w:color w:val="000000"/>
          <w:sz w:val="32"/>
          <w:szCs w:val="32"/>
        </w:rPr>
        <w:t>％</w:t>
      </w:r>
      <w:r>
        <w:rPr>
          <w:rFonts w:hint="eastAsia" w:ascii="仿宋_GB2312" w:hAnsi="Times New Roman" w:eastAsia="仿宋_GB2312"/>
          <w:color w:val="000000"/>
          <w:sz w:val="32"/>
          <w:szCs w:val="32"/>
        </w:rPr>
        <w:t>-20％</w:t>
      </w:r>
      <w:r>
        <w:rPr>
          <w:rFonts w:hint="eastAsia" w:ascii="仿宋_GB2312" w:hAnsi="宋体" w:eastAsia="仿宋_GB2312"/>
          <w:color w:val="000000"/>
          <w:sz w:val="32"/>
          <w:szCs w:val="32"/>
        </w:rPr>
        <w:t>。依法逐日调整剂量，直到疼痛评分稳定在</w:t>
      </w:r>
      <w:r>
        <w:rPr>
          <w:rFonts w:hint="eastAsia" w:ascii="仿宋_GB2312" w:hAnsi="Times New Roman" w:eastAsia="仿宋_GB2312"/>
          <w:color w:val="000000"/>
          <w:sz w:val="32"/>
          <w:szCs w:val="32"/>
        </w:rPr>
        <w:t>0-3分</w:t>
      </w:r>
      <w:r>
        <w:rPr>
          <w:rFonts w:hint="eastAsia" w:ascii="仿宋_GB2312" w:hAnsi="宋体" w:eastAsia="仿宋_GB2312"/>
          <w:color w:val="000000"/>
          <w:sz w:val="32"/>
          <w:szCs w:val="32"/>
        </w:rPr>
        <w:t>。如果出现不可控制的药物不良反应，疼痛强度</w:t>
      </w:r>
      <w:r>
        <w:rPr>
          <w:rFonts w:hint="eastAsia" w:hAnsi="宋体" w:cs="宋体"/>
          <w:color w:val="000000"/>
          <w:sz w:val="32"/>
          <w:szCs w:val="32"/>
        </w:rPr>
        <w:t>﹤</w:t>
      </w:r>
      <w:r>
        <w:rPr>
          <w:rFonts w:hint="eastAsia" w:ascii="仿宋_GB2312" w:hAnsi="宋体" w:eastAsia="仿宋_GB2312"/>
          <w:color w:val="000000"/>
          <w:sz w:val="32"/>
          <w:szCs w:val="32"/>
        </w:rPr>
        <w:t>4，应考虑将滴定剂量下调10-</w:t>
      </w:r>
      <w:r>
        <w:rPr>
          <w:rFonts w:hint="eastAsia" w:ascii="仿宋_GB2312" w:hAnsi="Times New Roman" w:eastAsia="仿宋_GB2312"/>
          <w:color w:val="000000"/>
          <w:sz w:val="32"/>
          <w:szCs w:val="32"/>
        </w:rPr>
        <w:t>25</w:t>
      </w:r>
      <w:r>
        <w:rPr>
          <w:rFonts w:hint="eastAsia" w:ascii="仿宋_GB2312" w:hAnsi="宋体" w:eastAsia="仿宋_GB2312"/>
          <w:color w:val="000000"/>
          <w:sz w:val="32"/>
          <w:szCs w:val="32"/>
        </w:rPr>
        <w:t>％，并且重新评价病情。</w:t>
      </w:r>
    </w:p>
    <w:p>
      <w:pPr>
        <w:pStyle w:val="2"/>
        <w:adjustRightInd w:val="0"/>
        <w:snapToGrid w:val="0"/>
        <w:spacing w:line="360" w:lineRule="auto"/>
        <w:ind w:firstLine="640" w:firstLineChars="200"/>
        <w:jc w:val="center"/>
        <w:rPr>
          <w:rFonts w:hint="eastAsia" w:ascii="黑体" w:hAnsi="宋体" w:eastAsia="黑体"/>
          <w:color w:val="000000"/>
          <w:sz w:val="32"/>
          <w:szCs w:val="36"/>
        </w:rPr>
      </w:pPr>
      <w:r>
        <w:rPr>
          <w:rFonts w:hint="eastAsia" w:ascii="黑体" w:hAnsi="宋体" w:eastAsia="黑体"/>
          <w:color w:val="000000"/>
          <w:sz w:val="32"/>
          <w:szCs w:val="36"/>
        </w:rPr>
        <w:t>表1. 剂量滴定增加幅度参考标准</w:t>
      </w:r>
    </w:p>
    <w:tbl>
      <w:tblPr>
        <w:tblStyle w:val="5"/>
        <w:tblW w:w="7515"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90"/>
        <w:gridCol w:w="39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3590"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宋体" w:eastAsia="仿宋_GB2312"/>
                <w:color w:val="000000"/>
                <w:sz w:val="32"/>
                <w:szCs w:val="32"/>
              </w:rPr>
            </w:pPr>
            <w:r>
              <w:rPr>
                <w:rFonts w:hint="eastAsia" w:ascii="仿宋_GB2312" w:hAnsi="宋体" w:eastAsia="仿宋_GB2312"/>
                <w:color w:val="000000"/>
                <w:sz w:val="32"/>
                <w:szCs w:val="32"/>
              </w:rPr>
              <w:t>疼痛强度</w:t>
            </w:r>
            <w:r>
              <w:rPr>
                <w:rFonts w:hint="eastAsia" w:ascii="仿宋_GB2312" w:hAnsi="Times New Roman" w:eastAsia="仿宋_GB2312"/>
                <w:color w:val="000000"/>
                <w:sz w:val="32"/>
                <w:szCs w:val="32"/>
              </w:rPr>
              <w:t>(NRS)</w:t>
            </w:r>
          </w:p>
        </w:tc>
        <w:tc>
          <w:tcPr>
            <w:tcW w:w="3925"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宋体" w:eastAsia="仿宋_GB2312"/>
                <w:color w:val="000000"/>
                <w:sz w:val="32"/>
                <w:szCs w:val="32"/>
              </w:rPr>
            </w:pPr>
            <w:r>
              <w:rPr>
                <w:rFonts w:hint="eastAsia" w:ascii="仿宋_GB2312" w:hAnsi="宋体" w:eastAsia="仿宋_GB2312"/>
                <w:color w:val="000000"/>
                <w:sz w:val="32"/>
                <w:szCs w:val="32"/>
              </w:rPr>
              <w:t>剂量滴定增加幅度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90"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宋体" w:eastAsia="仿宋_GB2312"/>
                <w:color w:val="000000"/>
                <w:sz w:val="32"/>
                <w:szCs w:val="32"/>
              </w:rPr>
            </w:pPr>
            <w:r>
              <w:rPr>
                <w:rFonts w:hint="eastAsia" w:ascii="仿宋_GB2312" w:hAnsi="Times New Roman" w:eastAsia="仿宋_GB2312"/>
                <w:color w:val="000000"/>
                <w:sz w:val="32"/>
                <w:szCs w:val="32"/>
              </w:rPr>
              <w:t>7</w:t>
            </w:r>
            <w:r>
              <w:rPr>
                <w:rFonts w:hint="eastAsia" w:ascii="仿宋_GB2312" w:hAnsi="宋体" w:eastAsia="仿宋_GB2312"/>
                <w:color w:val="000000"/>
                <w:sz w:val="32"/>
                <w:szCs w:val="32"/>
              </w:rPr>
              <w:t>～</w:t>
            </w:r>
            <w:r>
              <w:rPr>
                <w:rFonts w:hint="eastAsia" w:ascii="仿宋_GB2312" w:hAnsi="Times New Roman" w:eastAsia="仿宋_GB2312"/>
                <w:color w:val="000000"/>
                <w:sz w:val="32"/>
                <w:szCs w:val="32"/>
              </w:rPr>
              <w:t>10</w:t>
            </w:r>
          </w:p>
        </w:tc>
        <w:tc>
          <w:tcPr>
            <w:tcW w:w="3925"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宋体" w:eastAsia="仿宋_GB2312"/>
                <w:color w:val="000000"/>
                <w:sz w:val="32"/>
                <w:szCs w:val="32"/>
              </w:rPr>
            </w:pPr>
            <w:r>
              <w:rPr>
                <w:rFonts w:hint="eastAsia" w:ascii="仿宋_GB2312" w:hAnsi="Times New Roman" w:eastAsia="仿宋_GB2312"/>
                <w:color w:val="000000"/>
                <w:sz w:val="32"/>
                <w:szCs w:val="32"/>
              </w:rPr>
              <w:t>50%</w:t>
            </w:r>
            <w:r>
              <w:rPr>
                <w:rFonts w:hint="eastAsia" w:ascii="仿宋_GB2312" w:hAnsi="宋体" w:eastAsia="仿宋_GB2312"/>
                <w:color w:val="000000"/>
                <w:sz w:val="32"/>
                <w:szCs w:val="32"/>
              </w:rPr>
              <w:t>～</w:t>
            </w:r>
            <w:r>
              <w:rPr>
                <w:rFonts w:hint="eastAsia" w:ascii="仿宋_GB2312" w:hAnsi="Times New Roman" w:eastAsia="仿宋_GB2312"/>
                <w:color w:val="000000"/>
                <w:sz w:val="32"/>
                <w:szCs w:val="32"/>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90"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宋体" w:eastAsia="仿宋_GB2312"/>
                <w:color w:val="000000"/>
                <w:sz w:val="32"/>
                <w:szCs w:val="32"/>
              </w:rPr>
            </w:pPr>
            <w:r>
              <w:rPr>
                <w:rFonts w:hint="eastAsia" w:ascii="仿宋_GB2312" w:hAnsi="Times New Roman" w:eastAsia="仿宋_GB2312"/>
                <w:color w:val="000000"/>
                <w:sz w:val="32"/>
                <w:szCs w:val="32"/>
              </w:rPr>
              <w:t>4</w:t>
            </w:r>
            <w:r>
              <w:rPr>
                <w:rFonts w:hint="eastAsia" w:ascii="仿宋_GB2312" w:hAnsi="宋体" w:eastAsia="仿宋_GB2312"/>
                <w:color w:val="000000"/>
                <w:sz w:val="32"/>
                <w:szCs w:val="32"/>
              </w:rPr>
              <w:t>～</w:t>
            </w:r>
            <w:r>
              <w:rPr>
                <w:rFonts w:hint="eastAsia" w:ascii="仿宋_GB2312" w:hAnsi="Times New Roman" w:eastAsia="仿宋_GB2312"/>
                <w:color w:val="000000"/>
                <w:sz w:val="32"/>
                <w:szCs w:val="32"/>
              </w:rPr>
              <w:t>6</w:t>
            </w:r>
          </w:p>
        </w:tc>
        <w:tc>
          <w:tcPr>
            <w:tcW w:w="3925"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宋体" w:eastAsia="仿宋_GB2312"/>
                <w:color w:val="000000"/>
                <w:sz w:val="32"/>
                <w:szCs w:val="32"/>
              </w:rPr>
            </w:pPr>
            <w:r>
              <w:rPr>
                <w:rFonts w:hint="eastAsia" w:ascii="仿宋_GB2312" w:hAnsi="Times New Roman" w:eastAsia="仿宋_GB2312"/>
                <w:color w:val="000000"/>
                <w:sz w:val="32"/>
                <w:szCs w:val="32"/>
              </w:rPr>
              <w:t>25%</w:t>
            </w:r>
            <w:r>
              <w:rPr>
                <w:rFonts w:hint="eastAsia" w:ascii="仿宋_GB2312" w:hAnsi="宋体" w:eastAsia="仿宋_GB2312"/>
                <w:color w:val="000000"/>
                <w:sz w:val="32"/>
                <w:szCs w:val="32"/>
              </w:rPr>
              <w:t>～</w:t>
            </w:r>
            <w:r>
              <w:rPr>
                <w:rFonts w:hint="eastAsia" w:ascii="仿宋_GB2312" w:hAnsi="Times New Roman" w:eastAsia="仿宋_GB2312"/>
                <w:color w:val="000000"/>
                <w:sz w:val="32"/>
                <w:szCs w:val="32"/>
              </w:rPr>
              <w:t>50</w:t>
            </w:r>
            <w:r>
              <w:rPr>
                <w:rFonts w:hint="eastAsia" w:ascii="仿宋_GB2312" w:hAnsi="宋体" w:eastAsia="仿宋_GB2312"/>
                <w:color w:val="000000"/>
                <w:sz w:val="32"/>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90"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宋体" w:eastAsia="仿宋_GB2312"/>
                <w:color w:val="000000"/>
                <w:sz w:val="32"/>
                <w:szCs w:val="32"/>
              </w:rPr>
            </w:pPr>
            <w:r>
              <w:rPr>
                <w:rFonts w:hint="eastAsia" w:ascii="仿宋_GB2312" w:hAnsi="Times New Roman" w:eastAsia="仿宋_GB2312"/>
                <w:color w:val="000000"/>
                <w:sz w:val="32"/>
                <w:szCs w:val="32"/>
              </w:rPr>
              <w:t>2</w:t>
            </w:r>
            <w:r>
              <w:rPr>
                <w:rFonts w:hint="eastAsia" w:ascii="仿宋_GB2312" w:hAnsi="宋体" w:eastAsia="仿宋_GB2312"/>
                <w:color w:val="000000"/>
                <w:sz w:val="32"/>
                <w:szCs w:val="32"/>
              </w:rPr>
              <w:t>～</w:t>
            </w:r>
            <w:r>
              <w:rPr>
                <w:rFonts w:hint="eastAsia" w:ascii="仿宋_GB2312" w:hAnsi="Times New Roman" w:eastAsia="仿宋_GB2312"/>
                <w:color w:val="000000"/>
                <w:sz w:val="32"/>
                <w:szCs w:val="32"/>
              </w:rPr>
              <w:t>3</w:t>
            </w:r>
          </w:p>
        </w:tc>
        <w:tc>
          <w:tcPr>
            <w:tcW w:w="3925"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宋体" w:eastAsia="仿宋_GB2312"/>
                <w:color w:val="000000"/>
                <w:sz w:val="32"/>
                <w:szCs w:val="32"/>
              </w:rPr>
            </w:pPr>
            <w:r>
              <w:rPr>
                <w:rFonts w:hint="eastAsia" w:ascii="仿宋_GB2312" w:hAnsi="Times New Roman" w:eastAsia="仿宋_GB2312"/>
                <w:color w:val="000000"/>
                <w:sz w:val="32"/>
                <w:szCs w:val="32"/>
              </w:rPr>
              <w:t>≤25</w:t>
            </w:r>
            <w:r>
              <w:rPr>
                <w:rFonts w:hint="eastAsia" w:ascii="仿宋_GB2312" w:hAnsi="宋体" w:eastAsia="仿宋_GB2312"/>
                <w:color w:val="000000"/>
                <w:sz w:val="32"/>
                <w:szCs w:val="32"/>
              </w:rPr>
              <w:t>％</w:t>
            </w:r>
          </w:p>
        </w:tc>
      </w:tr>
    </w:tbl>
    <w:p>
      <w:pPr>
        <w:pStyle w:val="2"/>
        <w:adjustRightInd w:val="0"/>
        <w:snapToGrid w:val="0"/>
        <w:spacing w:line="360" w:lineRule="auto"/>
        <w:rPr>
          <w:rFonts w:hint="eastAsia" w:ascii="仿宋_GB2312" w:hAnsi="宋体" w:eastAsia="仿宋_GB2312"/>
          <w:color w:val="000000"/>
          <w:sz w:val="24"/>
          <w:szCs w:val="24"/>
        </w:rPr>
      </w:pPr>
    </w:p>
    <w:p>
      <w:pPr>
        <w:pStyle w:val="2"/>
        <w:adjustRightInd w:val="0"/>
        <w:snapToGrid w:val="0"/>
        <w:spacing w:line="360" w:lineRule="auto"/>
        <w:ind w:firstLine="640" w:firstLineChars="200"/>
        <w:rPr>
          <w:rFonts w:hint="eastAsia" w:ascii="仿宋_GB2312" w:hAnsi="Times New Roman" w:eastAsia="仿宋_GB2312"/>
          <w:color w:val="000000"/>
          <w:sz w:val="32"/>
          <w:szCs w:val="32"/>
        </w:rPr>
      </w:pPr>
      <w:r>
        <w:rPr>
          <w:rFonts w:hint="eastAsia" w:ascii="仿宋_GB2312" w:hAnsi="宋体" w:eastAsia="仿宋_GB2312"/>
          <w:color w:val="000000"/>
          <w:sz w:val="32"/>
          <w:szCs w:val="32"/>
        </w:rPr>
        <w:t>对于未曾使用过阿片类药物的中、重度癌痛患者，推荐初始用药时选择短效阿片类止痛药，个体化滴定用药剂量；当用药剂量调整到理想止痛及安全的剂量水平时，可考虑换用等效剂量的长效阿片类止痛药。</w:t>
      </w:r>
    </w:p>
    <w:p>
      <w:pPr>
        <w:pStyle w:val="2"/>
        <w:adjustRightInd w:val="0"/>
        <w:snapToGrid w:val="0"/>
        <w:spacing w:line="360" w:lineRule="auto"/>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对于已经使用阿片类药物治疗疼痛的患者，可以根据患者的疗效和疼痛强度，参照表1的要求进行滴定。</w:t>
      </w:r>
    </w:p>
    <w:p>
      <w:pPr>
        <w:pStyle w:val="2"/>
        <w:adjustRightInd w:val="0"/>
        <w:snapToGrid w:val="0"/>
        <w:spacing w:line="360" w:lineRule="auto"/>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对于疼痛病情相对稳定的患者，可以考虑使用阿片类药物缓释剂作为背景给药，在此基础上备用短效阿片类药物，用于治疗爆发性疼痛。阿片类药物缓释剂的剂量调整参考表1。</w:t>
      </w:r>
    </w:p>
    <w:p>
      <w:pPr>
        <w:pStyle w:val="2"/>
        <w:adjustRightInd w:val="0"/>
        <w:snapToGrid w:val="0"/>
        <w:spacing w:line="360" w:lineRule="auto"/>
        <w:ind w:firstLine="400" w:firstLineChars="200"/>
        <w:rPr>
          <w:rFonts w:hint="eastAsia" w:ascii="仿宋_GB2312" w:hAnsi="Times New Roman" w:eastAsia="仿宋_GB2312"/>
          <w:b/>
          <w:color w:val="000000"/>
          <w:sz w:val="32"/>
          <w:szCs w:val="32"/>
        </w:rPr>
      </w:pPr>
      <w:r>
        <w:rPr>
          <w:rFonts w:hint="eastAsia"/>
        </w:rPr>
        <w:fldChar w:fldCharType="begin"/>
      </w:r>
      <w:r>
        <w:rPr>
          <w:rFonts w:hint="eastAsia" w:ascii="仿宋_GB2312" w:hAnsi="宋体" w:eastAsia="仿宋_GB2312"/>
          <w:b/>
          <w:color w:val="000000"/>
          <w:sz w:val="32"/>
          <w:szCs w:val="32"/>
        </w:rPr>
        <w:instrText xml:space="preserve"> = 2 \* GB3 </w:instrText>
      </w:r>
      <w:r>
        <w:fldChar w:fldCharType="separate"/>
      </w:r>
      <w:r>
        <w:rPr>
          <w:rFonts w:hint="eastAsia" w:ascii="仿宋_GB2312" w:hAnsi="宋体" w:eastAsia="仿宋_GB2312"/>
          <w:b/>
          <w:color w:val="000000"/>
          <w:sz w:val="32"/>
          <w:szCs w:val="32"/>
        </w:rPr>
        <w:t>②</w:t>
      </w:r>
      <w:r>
        <w:rPr>
          <w:rFonts w:hint="eastAsia"/>
        </w:rPr>
        <w:fldChar w:fldCharType="end"/>
      </w:r>
      <w:r>
        <w:rPr>
          <w:rFonts w:hint="eastAsia" w:ascii="仿宋_GB2312" w:hAnsi="宋体" w:eastAsia="仿宋_GB2312"/>
          <w:b/>
          <w:color w:val="000000"/>
          <w:sz w:val="32"/>
          <w:szCs w:val="32"/>
        </w:rPr>
        <w:t>维持用药。</w:t>
      </w:r>
      <w:r>
        <w:rPr>
          <w:rFonts w:hint="eastAsia" w:ascii="仿宋_GB2312" w:hAnsi="宋体" w:eastAsia="仿宋_GB2312"/>
          <w:color w:val="000000"/>
          <w:sz w:val="32"/>
          <w:szCs w:val="32"/>
        </w:rPr>
        <w:t>在我国常用的长效阿片类药物有吗啡缓释片、羟考酮缓释片和芬太尼透皮贴剂等。在应用长效阿片类药物期间，应备用短效阿片类止痛药，用于爆发性疼痛。当患者因病情变化，长效止痛药物剂量不足时，或发生爆发性疼痛时，立即给予短效阿片类药物，用于解救治疗及剂量滴定。解救剂量为前</w:t>
      </w:r>
      <w:r>
        <w:rPr>
          <w:rFonts w:hint="eastAsia" w:ascii="仿宋_GB2312" w:hAnsi="Times New Roman" w:eastAsia="仿宋_GB2312"/>
          <w:color w:val="000000"/>
          <w:sz w:val="32"/>
          <w:szCs w:val="32"/>
        </w:rPr>
        <w:t>24</w:t>
      </w:r>
      <w:r>
        <w:rPr>
          <w:rFonts w:hint="eastAsia" w:ascii="仿宋_GB2312" w:hAnsi="宋体" w:eastAsia="仿宋_GB2312"/>
          <w:color w:val="000000"/>
          <w:sz w:val="32"/>
          <w:szCs w:val="32"/>
        </w:rPr>
        <w:t>小时用药总量的</w:t>
      </w:r>
      <w:r>
        <w:rPr>
          <w:rFonts w:hint="eastAsia" w:ascii="仿宋_GB2312" w:hAnsi="Times New Roman" w:eastAsia="仿宋_GB2312"/>
          <w:color w:val="000000"/>
          <w:sz w:val="32"/>
          <w:szCs w:val="32"/>
        </w:rPr>
        <w:t>10%-20</w:t>
      </w:r>
      <w:r>
        <w:rPr>
          <w:rFonts w:hint="eastAsia" w:ascii="仿宋_GB2312" w:hAnsi="宋体" w:eastAsia="仿宋_GB2312"/>
          <w:color w:val="000000"/>
          <w:sz w:val="32"/>
          <w:szCs w:val="32"/>
        </w:rPr>
        <w:t>％。每日短效阿片解救用药</w:t>
      </w:r>
      <w:r>
        <w:rPr>
          <w:rFonts w:hint="eastAsia" w:ascii="仿宋_GB2312" w:hAnsi="Times New Roman" w:eastAsia="仿宋_GB2312"/>
          <w:color w:val="000000"/>
          <w:sz w:val="32"/>
          <w:szCs w:val="32"/>
        </w:rPr>
        <w:t>次数≥3</w:t>
      </w:r>
      <w:r>
        <w:rPr>
          <w:rFonts w:hint="eastAsia" w:ascii="仿宋_GB2312" w:hAnsi="宋体" w:eastAsia="仿宋_GB2312"/>
          <w:color w:val="000000"/>
          <w:sz w:val="32"/>
          <w:szCs w:val="32"/>
        </w:rPr>
        <w:t>次时，应当考虑将前</w:t>
      </w:r>
      <w:r>
        <w:rPr>
          <w:rFonts w:hint="eastAsia" w:ascii="仿宋_GB2312" w:hAnsi="Times New Roman" w:eastAsia="仿宋_GB2312"/>
          <w:color w:val="000000"/>
          <w:sz w:val="32"/>
          <w:szCs w:val="32"/>
        </w:rPr>
        <w:t>24</w:t>
      </w:r>
      <w:r>
        <w:rPr>
          <w:rFonts w:hint="eastAsia" w:ascii="仿宋_GB2312" w:hAnsi="宋体" w:eastAsia="仿宋_GB2312"/>
          <w:color w:val="000000"/>
          <w:sz w:val="32"/>
          <w:szCs w:val="32"/>
        </w:rPr>
        <w:t>小时解救用药换算成长效阿片类药按时给药。</w:t>
      </w:r>
    </w:p>
    <w:p>
      <w:pPr>
        <w:pStyle w:val="2"/>
        <w:adjustRightInd w:val="0"/>
        <w:snapToGrid w:val="0"/>
        <w:spacing w:line="360" w:lineRule="auto"/>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阿片类药物之间的剂量换算，可参照换算系数表</w:t>
      </w:r>
      <w:r>
        <w:rPr>
          <w:rFonts w:hint="eastAsia" w:ascii="仿宋_GB2312" w:hAnsi="Times New Roman" w:eastAsia="仿宋_GB2312"/>
          <w:color w:val="000000"/>
          <w:sz w:val="32"/>
          <w:szCs w:val="32"/>
        </w:rPr>
        <w:t>(</w:t>
      </w:r>
      <w:r>
        <w:rPr>
          <w:rFonts w:hint="eastAsia" w:ascii="仿宋_GB2312" w:hAnsi="宋体" w:eastAsia="仿宋_GB2312"/>
          <w:color w:val="000000"/>
          <w:sz w:val="32"/>
          <w:szCs w:val="32"/>
        </w:rPr>
        <w:t>见表2</w:t>
      </w:r>
      <w:r>
        <w:rPr>
          <w:rFonts w:hint="eastAsia" w:ascii="仿宋_GB2312" w:hAnsi="Times New Roman" w:eastAsia="仿宋_GB2312"/>
          <w:color w:val="000000"/>
          <w:sz w:val="32"/>
          <w:szCs w:val="32"/>
        </w:rPr>
        <w:t>)</w:t>
      </w:r>
      <w:r>
        <w:rPr>
          <w:rFonts w:hint="eastAsia" w:ascii="仿宋_GB2312" w:hAnsi="宋体" w:eastAsia="仿宋_GB2312"/>
          <w:color w:val="000000"/>
          <w:sz w:val="32"/>
          <w:szCs w:val="32"/>
        </w:rPr>
        <w:t>。换用另一种阿片类药时，仍然需要仔细观察病情变化，并且个体化滴定用药剂量。</w:t>
      </w:r>
    </w:p>
    <w:p>
      <w:pPr>
        <w:pStyle w:val="2"/>
        <w:adjustRightInd w:val="0"/>
        <w:snapToGrid w:val="0"/>
        <w:spacing w:line="360" w:lineRule="auto"/>
        <w:ind w:firstLine="640" w:firstLineChars="200"/>
        <w:jc w:val="center"/>
        <w:rPr>
          <w:rFonts w:hint="eastAsia" w:ascii="黑体" w:hAnsi="Times New Roman" w:eastAsia="黑体"/>
          <w:color w:val="000000"/>
          <w:sz w:val="32"/>
          <w:szCs w:val="36"/>
        </w:rPr>
      </w:pPr>
      <w:r>
        <w:rPr>
          <w:rFonts w:hint="eastAsia" w:ascii="黑体" w:hAnsi="宋体" w:eastAsia="黑体"/>
          <w:color w:val="000000"/>
          <w:sz w:val="32"/>
          <w:szCs w:val="36"/>
        </w:rPr>
        <w:t>表</w:t>
      </w:r>
      <w:r>
        <w:rPr>
          <w:rFonts w:hint="eastAsia" w:ascii="黑体" w:hAnsi="Times New Roman" w:eastAsia="黑体"/>
          <w:color w:val="000000"/>
          <w:sz w:val="32"/>
          <w:szCs w:val="36"/>
        </w:rPr>
        <w:t>2.</w:t>
      </w:r>
      <w:r>
        <w:rPr>
          <w:rFonts w:hint="eastAsia" w:ascii="黑体" w:hAnsi="宋体" w:eastAsia="黑体"/>
          <w:color w:val="000000"/>
          <w:sz w:val="32"/>
          <w:szCs w:val="36"/>
        </w:rPr>
        <w:t>阿片类药物剂量换算表</w:t>
      </w:r>
    </w:p>
    <w:tbl>
      <w:tblPr>
        <w:tblStyle w:val="5"/>
        <w:tblW w:w="88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8"/>
        <w:gridCol w:w="1937"/>
        <w:gridCol w:w="1199"/>
        <w:gridCol w:w="3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08"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药物</w:t>
            </w:r>
          </w:p>
        </w:tc>
        <w:tc>
          <w:tcPr>
            <w:tcW w:w="1937"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非胃肠给药</w:t>
            </w:r>
          </w:p>
        </w:tc>
        <w:tc>
          <w:tcPr>
            <w:tcW w:w="1199"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口服</w:t>
            </w:r>
          </w:p>
        </w:tc>
        <w:tc>
          <w:tcPr>
            <w:tcW w:w="3951"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center"/>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等效剂量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08"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吗啡</w:t>
            </w:r>
            <w:r>
              <w:rPr>
                <w:rFonts w:hint="eastAsia" w:ascii="仿宋_GB2312" w:hAnsi="Times New Roman" w:eastAsia="仿宋_GB2312"/>
                <w:color w:val="000000"/>
                <w:kern w:val="2"/>
                <w:sz w:val="32"/>
                <w:szCs w:val="32"/>
              </w:rPr>
              <w:t xml:space="preserve">  </w:t>
            </w:r>
          </w:p>
        </w:tc>
        <w:tc>
          <w:tcPr>
            <w:tcW w:w="1937"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r>
              <w:rPr>
                <w:rFonts w:hint="eastAsia" w:ascii="仿宋_GB2312" w:hAnsi="Times New Roman" w:eastAsia="仿宋_GB2312"/>
                <w:color w:val="000000"/>
                <w:kern w:val="2"/>
                <w:sz w:val="32"/>
                <w:szCs w:val="32"/>
              </w:rPr>
              <w:t xml:space="preserve">10mg  </w:t>
            </w:r>
          </w:p>
        </w:tc>
        <w:tc>
          <w:tcPr>
            <w:tcW w:w="1199"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r>
              <w:rPr>
                <w:rFonts w:hint="eastAsia" w:ascii="仿宋_GB2312" w:hAnsi="Times New Roman" w:eastAsia="仿宋_GB2312"/>
                <w:color w:val="000000"/>
                <w:kern w:val="2"/>
                <w:sz w:val="32"/>
                <w:szCs w:val="32"/>
              </w:rPr>
              <w:t>30mg</w:t>
            </w:r>
          </w:p>
        </w:tc>
        <w:tc>
          <w:tcPr>
            <w:tcW w:w="3951"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left"/>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非胃肠道：口服</w:t>
            </w:r>
            <w:r>
              <w:rPr>
                <w:rFonts w:hint="eastAsia" w:ascii="仿宋_GB2312" w:hAnsi="Times New Roman" w:eastAsia="仿宋_GB2312"/>
                <w:color w:val="000000"/>
                <w:kern w:val="2"/>
                <w:sz w:val="32"/>
                <w:szCs w:val="32"/>
              </w:rPr>
              <w:t>=1</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08"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可待因</w:t>
            </w:r>
          </w:p>
        </w:tc>
        <w:tc>
          <w:tcPr>
            <w:tcW w:w="1937"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r>
              <w:rPr>
                <w:rFonts w:hint="eastAsia" w:ascii="仿宋_GB2312" w:hAnsi="Times New Roman" w:eastAsia="仿宋_GB2312"/>
                <w:color w:val="000000"/>
                <w:kern w:val="2"/>
                <w:sz w:val="32"/>
                <w:szCs w:val="32"/>
              </w:rPr>
              <w:t>130mg</w:t>
            </w:r>
          </w:p>
        </w:tc>
        <w:tc>
          <w:tcPr>
            <w:tcW w:w="1199"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r>
              <w:rPr>
                <w:rFonts w:hint="eastAsia" w:ascii="仿宋_GB2312" w:hAnsi="Times New Roman" w:eastAsia="仿宋_GB2312"/>
                <w:color w:val="000000"/>
                <w:kern w:val="2"/>
                <w:sz w:val="32"/>
                <w:szCs w:val="32"/>
              </w:rPr>
              <w:t xml:space="preserve">200mg  </w:t>
            </w:r>
          </w:p>
        </w:tc>
        <w:tc>
          <w:tcPr>
            <w:tcW w:w="3951"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left"/>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非胃肠道：口服</w:t>
            </w:r>
            <w:r>
              <w:rPr>
                <w:rFonts w:hint="eastAsia" w:ascii="仿宋_GB2312" w:hAnsi="Times New Roman" w:eastAsia="仿宋_GB2312"/>
                <w:color w:val="000000"/>
                <w:kern w:val="2"/>
                <w:sz w:val="32"/>
                <w:szCs w:val="32"/>
              </w:rPr>
              <w:t>=1</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1</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2</w:t>
            </w:r>
          </w:p>
          <w:p>
            <w:pPr>
              <w:pStyle w:val="2"/>
              <w:adjustRightInd w:val="0"/>
              <w:snapToGrid w:val="0"/>
              <w:jc w:val="left"/>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吗啡</w:t>
            </w:r>
            <w:r>
              <w:rPr>
                <w:rFonts w:hint="eastAsia" w:ascii="仿宋_GB2312" w:hAnsi="Times New Roman" w:eastAsia="仿宋_GB2312"/>
                <w:color w:val="000000"/>
                <w:kern w:val="2"/>
                <w:sz w:val="32"/>
                <w:szCs w:val="32"/>
              </w:rPr>
              <w:t>(</w:t>
            </w:r>
            <w:r>
              <w:rPr>
                <w:rFonts w:hint="eastAsia" w:ascii="仿宋_GB2312" w:hAnsi="宋体" w:eastAsia="仿宋_GB2312"/>
                <w:color w:val="000000"/>
                <w:kern w:val="2"/>
                <w:sz w:val="32"/>
                <w:szCs w:val="32"/>
              </w:rPr>
              <w:t>口服</w:t>
            </w:r>
            <w:r>
              <w:rPr>
                <w:rFonts w:hint="eastAsia" w:ascii="仿宋_GB2312" w:hAnsi="Times New Roman" w:eastAsia="仿宋_GB2312"/>
                <w:color w:val="000000"/>
                <w:kern w:val="2"/>
                <w:sz w:val="32"/>
                <w:szCs w:val="32"/>
              </w:rPr>
              <w:t>)</w:t>
            </w:r>
            <w:r>
              <w:rPr>
                <w:rFonts w:hint="eastAsia" w:ascii="仿宋_GB2312" w:hAnsi="宋体" w:eastAsia="仿宋_GB2312"/>
                <w:color w:val="000000"/>
                <w:kern w:val="2"/>
                <w:sz w:val="32"/>
                <w:szCs w:val="32"/>
              </w:rPr>
              <w:t>：可待因</w:t>
            </w:r>
            <w:r>
              <w:rPr>
                <w:rFonts w:hint="eastAsia" w:ascii="仿宋_GB2312" w:hAnsi="Times New Roman" w:eastAsia="仿宋_GB2312"/>
                <w:color w:val="000000"/>
                <w:kern w:val="2"/>
                <w:sz w:val="32"/>
                <w:szCs w:val="32"/>
              </w:rPr>
              <w:t>(</w:t>
            </w:r>
            <w:r>
              <w:rPr>
                <w:rFonts w:hint="eastAsia" w:ascii="仿宋_GB2312" w:hAnsi="宋体" w:eastAsia="仿宋_GB2312"/>
                <w:color w:val="000000"/>
                <w:kern w:val="2"/>
                <w:sz w:val="32"/>
                <w:szCs w:val="32"/>
              </w:rPr>
              <w:t>口服</w:t>
            </w:r>
            <w:r>
              <w:rPr>
                <w:rFonts w:hint="eastAsia" w:ascii="仿宋_GB2312" w:hAnsi="Times New Roman" w:eastAsia="仿宋_GB2312"/>
                <w:color w:val="000000"/>
                <w:kern w:val="2"/>
                <w:sz w:val="32"/>
                <w:szCs w:val="32"/>
              </w:rPr>
              <w:t>)=1</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6</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08"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羟考酮</w:t>
            </w:r>
          </w:p>
        </w:tc>
        <w:tc>
          <w:tcPr>
            <w:tcW w:w="1937"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r>
              <w:rPr>
                <w:rFonts w:hint="eastAsia" w:ascii="仿宋_GB2312" w:hAnsi="Times New Roman" w:eastAsia="仿宋_GB2312"/>
                <w:color w:val="000000"/>
                <w:kern w:val="2"/>
                <w:sz w:val="32"/>
                <w:szCs w:val="32"/>
              </w:rPr>
              <w:t>10mg</w:t>
            </w:r>
          </w:p>
        </w:tc>
        <w:tc>
          <w:tcPr>
            <w:tcW w:w="1199"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p>
        </w:tc>
        <w:tc>
          <w:tcPr>
            <w:tcW w:w="3951"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left"/>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吗啡</w:t>
            </w:r>
            <w:r>
              <w:rPr>
                <w:rFonts w:hint="eastAsia" w:ascii="仿宋_GB2312" w:hAnsi="Times New Roman" w:eastAsia="仿宋_GB2312"/>
                <w:color w:val="000000"/>
                <w:kern w:val="2"/>
                <w:sz w:val="32"/>
                <w:szCs w:val="32"/>
              </w:rPr>
              <w:t>(</w:t>
            </w:r>
            <w:r>
              <w:rPr>
                <w:rFonts w:hint="eastAsia" w:ascii="仿宋_GB2312" w:hAnsi="宋体" w:eastAsia="仿宋_GB2312"/>
                <w:color w:val="000000"/>
                <w:kern w:val="2"/>
                <w:sz w:val="32"/>
                <w:szCs w:val="32"/>
              </w:rPr>
              <w:t>口服</w:t>
            </w:r>
            <w:r>
              <w:rPr>
                <w:rFonts w:hint="eastAsia" w:ascii="仿宋_GB2312" w:hAnsi="Times New Roman" w:eastAsia="仿宋_GB2312"/>
                <w:color w:val="000000"/>
                <w:kern w:val="2"/>
                <w:sz w:val="32"/>
                <w:szCs w:val="32"/>
              </w:rPr>
              <w:t>)</w:t>
            </w:r>
            <w:r>
              <w:rPr>
                <w:rFonts w:hint="eastAsia" w:ascii="仿宋_GB2312" w:hAnsi="宋体" w:eastAsia="仿宋_GB2312"/>
                <w:color w:val="000000"/>
                <w:kern w:val="2"/>
                <w:sz w:val="32"/>
                <w:szCs w:val="32"/>
              </w:rPr>
              <w:t>：羟考酮</w:t>
            </w:r>
            <w:r>
              <w:rPr>
                <w:rFonts w:hint="eastAsia" w:ascii="仿宋_GB2312" w:hAnsi="Times New Roman" w:eastAsia="仿宋_GB2312"/>
                <w:color w:val="000000"/>
                <w:kern w:val="2"/>
                <w:sz w:val="32"/>
                <w:szCs w:val="32"/>
              </w:rPr>
              <w:t>(</w:t>
            </w:r>
            <w:r>
              <w:rPr>
                <w:rFonts w:hint="eastAsia" w:ascii="仿宋_GB2312" w:hAnsi="宋体" w:eastAsia="仿宋_GB2312"/>
                <w:color w:val="000000"/>
                <w:kern w:val="2"/>
                <w:sz w:val="32"/>
                <w:szCs w:val="32"/>
              </w:rPr>
              <w:t>口服</w:t>
            </w:r>
            <w:r>
              <w:rPr>
                <w:rFonts w:hint="eastAsia" w:ascii="仿宋_GB2312" w:hAnsi="Times New Roman" w:eastAsia="仿宋_GB2312"/>
                <w:color w:val="000000"/>
                <w:kern w:val="2"/>
                <w:sz w:val="32"/>
                <w:szCs w:val="32"/>
              </w:rPr>
              <w:t>)=l.5-2</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08"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r>
              <w:rPr>
                <w:rFonts w:hint="eastAsia" w:ascii="仿宋_GB2312" w:hAnsi="宋体" w:eastAsia="仿宋_GB2312"/>
                <w:color w:val="000000"/>
                <w:kern w:val="2"/>
                <w:sz w:val="32"/>
                <w:szCs w:val="32"/>
              </w:rPr>
              <w:t>芬太尼透皮贴剂</w:t>
            </w:r>
          </w:p>
        </w:tc>
        <w:tc>
          <w:tcPr>
            <w:tcW w:w="1937"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r>
              <w:rPr>
                <w:rFonts w:hint="eastAsia" w:ascii="仿宋_GB2312" w:hAnsi="Times New Roman" w:eastAsia="仿宋_GB2312"/>
                <w:color w:val="000000"/>
                <w:kern w:val="2"/>
                <w:sz w:val="32"/>
                <w:szCs w:val="32"/>
              </w:rPr>
              <w:t>25μg</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h(</w:t>
            </w:r>
            <w:r>
              <w:rPr>
                <w:rFonts w:hint="eastAsia" w:ascii="仿宋_GB2312" w:hAnsi="宋体" w:eastAsia="仿宋_GB2312"/>
                <w:color w:val="000000"/>
                <w:kern w:val="2"/>
                <w:sz w:val="32"/>
                <w:szCs w:val="32"/>
              </w:rPr>
              <w:t>透皮吸收</w:t>
            </w:r>
            <w:r>
              <w:rPr>
                <w:rFonts w:hint="eastAsia" w:ascii="仿宋_GB2312" w:hAnsi="Times New Roman" w:eastAsia="仿宋_GB2312"/>
                <w:color w:val="000000"/>
                <w:kern w:val="2"/>
                <w:sz w:val="32"/>
                <w:szCs w:val="32"/>
              </w:rPr>
              <w:t xml:space="preserve">)  </w:t>
            </w:r>
          </w:p>
        </w:tc>
        <w:tc>
          <w:tcPr>
            <w:tcW w:w="1199" w:type="dxa"/>
            <w:tcBorders>
              <w:top w:val="single" w:color="000000" w:sz="4" w:space="0"/>
              <w:left w:val="single" w:color="000000" w:sz="4" w:space="0"/>
              <w:bottom w:val="single" w:color="000000" w:sz="4" w:space="0"/>
              <w:right w:val="single" w:color="000000" w:sz="4" w:space="0"/>
            </w:tcBorders>
            <w:vAlign w:val="center"/>
          </w:tcPr>
          <w:p>
            <w:pPr>
              <w:pStyle w:val="2"/>
              <w:adjustRightInd w:val="0"/>
              <w:snapToGrid w:val="0"/>
              <w:rPr>
                <w:rFonts w:ascii="仿宋_GB2312" w:hAnsi="Times New Roman" w:eastAsia="仿宋_GB2312"/>
                <w:color w:val="000000"/>
                <w:kern w:val="2"/>
                <w:sz w:val="32"/>
                <w:szCs w:val="32"/>
              </w:rPr>
            </w:pPr>
          </w:p>
        </w:tc>
        <w:tc>
          <w:tcPr>
            <w:tcW w:w="3951" w:type="dxa"/>
            <w:tcBorders>
              <w:top w:val="single" w:color="000000" w:sz="4" w:space="0"/>
              <w:left w:val="single" w:color="000000" w:sz="4" w:space="0"/>
              <w:bottom w:val="single" w:color="000000" w:sz="4" w:space="0"/>
              <w:right w:val="single" w:color="000000" w:sz="4" w:space="0"/>
            </w:tcBorders>
          </w:tcPr>
          <w:p>
            <w:pPr>
              <w:pStyle w:val="2"/>
              <w:adjustRightInd w:val="0"/>
              <w:snapToGrid w:val="0"/>
              <w:jc w:val="left"/>
              <w:rPr>
                <w:rFonts w:ascii="仿宋_GB2312" w:hAnsi="Times New Roman" w:eastAsia="仿宋_GB2312"/>
                <w:color w:val="000000"/>
                <w:kern w:val="2"/>
                <w:sz w:val="32"/>
                <w:szCs w:val="32"/>
              </w:rPr>
            </w:pPr>
            <w:bookmarkStart w:id="23" w:name="OLE_LINK62"/>
            <w:r>
              <w:rPr>
                <w:rFonts w:hint="eastAsia" w:ascii="仿宋_GB2312" w:hAnsi="宋体" w:eastAsia="仿宋_GB2312"/>
                <w:color w:val="000000"/>
                <w:kern w:val="2"/>
                <w:sz w:val="32"/>
                <w:szCs w:val="32"/>
              </w:rPr>
              <w:t>芬太尼透皮贴剂</w:t>
            </w:r>
            <w:r>
              <w:rPr>
                <w:rFonts w:hint="eastAsia" w:ascii="仿宋_GB2312" w:hAnsi="Times New Roman" w:eastAsia="仿宋_GB2312"/>
                <w:color w:val="000000"/>
                <w:kern w:val="2"/>
                <w:sz w:val="32"/>
                <w:szCs w:val="32"/>
              </w:rPr>
              <w:t>μg</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h</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q72h</w:t>
            </w:r>
            <w:r>
              <w:rPr>
                <w:rFonts w:hint="eastAsia" w:ascii="仿宋_GB2312" w:hAnsi="宋体" w:eastAsia="仿宋_GB2312"/>
                <w:color w:val="000000"/>
                <w:kern w:val="2"/>
                <w:sz w:val="32"/>
                <w:szCs w:val="32"/>
              </w:rPr>
              <w:t>剂量</w:t>
            </w:r>
            <w:r>
              <w:rPr>
                <w:rFonts w:hint="eastAsia" w:ascii="仿宋_GB2312" w:hAnsi="Times New Roman" w:eastAsia="仿宋_GB2312"/>
                <w:color w:val="000000"/>
                <w:kern w:val="2"/>
                <w:sz w:val="32"/>
                <w:szCs w:val="32"/>
              </w:rPr>
              <w:t>=1</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2 ×</w:t>
            </w:r>
            <w:r>
              <w:rPr>
                <w:rFonts w:hint="eastAsia" w:ascii="仿宋_GB2312" w:hAnsi="宋体" w:eastAsia="仿宋_GB2312"/>
                <w:color w:val="000000"/>
                <w:kern w:val="2"/>
                <w:sz w:val="32"/>
                <w:szCs w:val="32"/>
              </w:rPr>
              <w:t>口服吗啡</w:t>
            </w:r>
            <w:r>
              <w:rPr>
                <w:rFonts w:hint="eastAsia" w:ascii="仿宋_GB2312" w:hAnsi="Times New Roman" w:eastAsia="仿宋_GB2312"/>
                <w:color w:val="000000"/>
                <w:kern w:val="2"/>
                <w:sz w:val="32"/>
                <w:szCs w:val="32"/>
              </w:rPr>
              <w:t>mg</w:t>
            </w:r>
            <w:r>
              <w:rPr>
                <w:rFonts w:hint="eastAsia" w:ascii="仿宋_GB2312" w:hAnsi="宋体" w:eastAsia="仿宋_GB2312"/>
                <w:color w:val="000000"/>
                <w:kern w:val="2"/>
                <w:sz w:val="32"/>
                <w:szCs w:val="32"/>
              </w:rPr>
              <w:t>／</w:t>
            </w:r>
            <w:r>
              <w:rPr>
                <w:rFonts w:hint="eastAsia" w:ascii="仿宋_GB2312" w:hAnsi="Times New Roman" w:eastAsia="仿宋_GB2312"/>
                <w:color w:val="000000"/>
                <w:kern w:val="2"/>
                <w:sz w:val="32"/>
                <w:szCs w:val="32"/>
              </w:rPr>
              <w:t>d</w:t>
            </w:r>
            <w:r>
              <w:rPr>
                <w:rFonts w:hint="eastAsia" w:ascii="仿宋_GB2312" w:hAnsi="宋体" w:eastAsia="仿宋_GB2312"/>
                <w:color w:val="000000"/>
                <w:kern w:val="2"/>
                <w:sz w:val="32"/>
                <w:szCs w:val="32"/>
              </w:rPr>
              <w:t>剂量</w:t>
            </w:r>
            <w:bookmarkEnd w:id="23"/>
          </w:p>
        </w:tc>
      </w:tr>
    </w:tbl>
    <w:p>
      <w:pPr>
        <w:pStyle w:val="2"/>
        <w:adjustRightInd w:val="0"/>
        <w:snapToGrid w:val="0"/>
        <w:spacing w:line="360" w:lineRule="auto"/>
        <w:ind w:firstLine="480" w:firstLineChars="200"/>
        <w:rPr>
          <w:rFonts w:hint="eastAsia" w:ascii="仿宋_GB2312" w:hAnsi="宋体" w:eastAsia="仿宋_GB2312"/>
          <w:color w:val="000000"/>
          <w:sz w:val="24"/>
          <w:szCs w:val="24"/>
        </w:rPr>
      </w:pPr>
    </w:p>
    <w:p>
      <w:pPr>
        <w:pStyle w:val="2"/>
        <w:adjustRightInd w:val="0"/>
        <w:snapToGrid w:val="0"/>
        <w:spacing w:line="360" w:lineRule="auto"/>
        <w:ind w:firstLine="640" w:firstLineChars="200"/>
        <w:rPr>
          <w:rFonts w:hint="eastAsia" w:ascii="仿宋_GB2312" w:hAnsi="Times New Roman" w:eastAsia="仿宋_GB2312"/>
          <w:color w:val="000000"/>
          <w:sz w:val="32"/>
          <w:szCs w:val="32"/>
        </w:rPr>
      </w:pPr>
      <w:r>
        <w:rPr>
          <w:rFonts w:hint="eastAsia" w:ascii="仿宋_GB2312" w:hAnsi="宋体" w:eastAsia="仿宋_GB2312"/>
          <w:color w:val="000000"/>
          <w:sz w:val="32"/>
          <w:szCs w:val="32"/>
        </w:rPr>
        <w:t>如需减少或停用阿片类药物，应该采用逐渐减量法，一般情况下阿片剂量可按照10％-25％/天剂量减少，直到每天剂量相当于</w:t>
      </w:r>
      <w:r>
        <w:rPr>
          <w:rFonts w:hint="eastAsia" w:ascii="仿宋_GB2312" w:hAnsi="Times New Roman" w:eastAsia="仿宋_GB2312"/>
          <w:color w:val="000000"/>
          <w:sz w:val="32"/>
          <w:szCs w:val="32"/>
        </w:rPr>
        <w:t>30mg口服</w:t>
      </w:r>
      <w:r>
        <w:rPr>
          <w:rFonts w:hint="eastAsia" w:ascii="仿宋_GB2312" w:hAnsi="宋体" w:eastAsia="仿宋_GB2312"/>
          <w:color w:val="000000"/>
          <w:sz w:val="32"/>
          <w:szCs w:val="32"/>
        </w:rPr>
        <w:t>吗啡的药量，再继续服用两天后即可停药。</w:t>
      </w:r>
    </w:p>
    <w:p>
      <w:pPr>
        <w:pStyle w:val="2"/>
        <w:adjustRightInd w:val="0"/>
        <w:snapToGrid w:val="0"/>
        <w:spacing w:line="360" w:lineRule="auto"/>
        <w:ind w:firstLine="400" w:firstLineChars="200"/>
        <w:rPr>
          <w:rFonts w:hint="eastAsia" w:ascii="仿宋_GB2312" w:hAnsi="Times New Roman" w:eastAsia="仿宋_GB2312"/>
          <w:b/>
          <w:color w:val="000000"/>
          <w:sz w:val="32"/>
          <w:szCs w:val="32"/>
        </w:rPr>
      </w:pPr>
      <w:bookmarkStart w:id="24" w:name="OLE_LINK5"/>
      <w:bookmarkStart w:id="25" w:name="OLE_LINK6"/>
      <w:r>
        <w:rPr>
          <w:rFonts w:hint="eastAsia"/>
        </w:rPr>
        <w:fldChar w:fldCharType="begin"/>
      </w:r>
      <w:r>
        <w:rPr>
          <w:rFonts w:hint="eastAsia" w:ascii="仿宋_GB2312" w:hAnsi="Times New Roman" w:eastAsia="仿宋_GB2312"/>
          <w:b/>
          <w:color w:val="000000"/>
          <w:sz w:val="32"/>
          <w:szCs w:val="32"/>
        </w:rPr>
        <w:instrText xml:space="preserve"> = 3 \* GB3 </w:instrText>
      </w:r>
      <w:r>
        <w:fldChar w:fldCharType="separate"/>
      </w:r>
      <w:r>
        <w:rPr>
          <w:rFonts w:hint="eastAsia" w:ascii="仿宋_GB2312" w:hAnsi="Times New Roman" w:eastAsia="仿宋_GB2312"/>
          <w:b/>
          <w:color w:val="000000"/>
          <w:sz w:val="32"/>
          <w:szCs w:val="32"/>
        </w:rPr>
        <w:t>③</w:t>
      </w:r>
      <w:r>
        <w:rPr>
          <w:rFonts w:hint="eastAsia"/>
        </w:rPr>
        <w:fldChar w:fldCharType="end"/>
      </w:r>
      <w:r>
        <w:rPr>
          <w:rFonts w:hint="eastAsia" w:ascii="仿宋_GB2312" w:hAnsi="宋体" w:eastAsia="仿宋_GB2312"/>
          <w:b/>
          <w:color w:val="000000"/>
          <w:sz w:val="32"/>
          <w:szCs w:val="32"/>
        </w:rPr>
        <w:t>不良反应防治</w:t>
      </w:r>
      <w:bookmarkEnd w:id="24"/>
      <w:bookmarkEnd w:id="25"/>
      <w:r>
        <w:rPr>
          <w:rFonts w:hint="eastAsia" w:ascii="仿宋_GB2312" w:hAnsi="宋体" w:eastAsia="仿宋_GB2312"/>
          <w:b/>
          <w:color w:val="000000"/>
          <w:sz w:val="32"/>
          <w:szCs w:val="32"/>
        </w:rPr>
        <w:t>。</w:t>
      </w:r>
      <w:r>
        <w:rPr>
          <w:rFonts w:hint="eastAsia" w:ascii="仿宋_GB2312" w:hAnsi="宋体" w:eastAsia="仿宋_GB2312"/>
          <w:color w:val="000000"/>
          <w:sz w:val="32"/>
          <w:szCs w:val="32"/>
        </w:rPr>
        <w:t>阿片类药物的常见不良反应，包括</w:t>
      </w:r>
      <w:r>
        <w:rPr>
          <w:rFonts w:hint="eastAsia" w:ascii="仿宋_GB2312" w:hAnsi="宋体" w:eastAsia="仿宋_GB2312"/>
          <w:color w:val="000000"/>
          <w:kern w:val="2"/>
          <w:sz w:val="32"/>
          <w:szCs w:val="32"/>
        </w:rPr>
        <w:t>便秘、恶心、呕吐、嗜睡、瘙痒、头晕、</w:t>
      </w:r>
      <w:r>
        <w:rPr>
          <w:rFonts w:hint="eastAsia" w:ascii="仿宋_GB2312" w:hAnsi="宋体" w:eastAsia="仿宋_GB2312"/>
          <w:color w:val="000000"/>
          <w:sz w:val="32"/>
          <w:szCs w:val="32"/>
        </w:rPr>
        <w:t>尿潴留、</w:t>
      </w:r>
      <w:r>
        <w:rPr>
          <w:rFonts w:hint="eastAsia" w:ascii="仿宋_GB2312" w:hAnsi="宋体" w:eastAsia="仿宋_GB2312"/>
          <w:color w:val="000000"/>
          <w:kern w:val="2"/>
          <w:sz w:val="32"/>
          <w:szCs w:val="32"/>
        </w:rPr>
        <w:t>谵妄、认知障碍以及呼吸抑制等。</w:t>
      </w:r>
      <w:r>
        <w:rPr>
          <w:rFonts w:hint="eastAsia" w:ascii="仿宋_GB2312" w:hAnsi="宋体" w:eastAsia="仿宋_GB2312"/>
          <w:color w:val="000000"/>
          <w:sz w:val="32"/>
          <w:szCs w:val="32"/>
        </w:rPr>
        <w:t>除了便秘之外，这些不良反应大多是暂时性的或可以耐受的。应把预防和处理阿片类止痛药不良反应作为止痛治疗计划和患者宣教的重要组成部分。恶心、呕吐、嗜睡和头晕等不良反应，大多出现在未曾使用过阿片类药物患者用药的最初几天。初用阿片类药物的数天内，可考虑同时给予甲氧氯普胺（胃复安）等止吐药预防恶心、呕吐，必要时可采用5-HT</w:t>
      </w:r>
      <w:r>
        <w:rPr>
          <w:rFonts w:hint="eastAsia" w:ascii="仿宋_GB2312" w:hAnsi="宋体" w:eastAsia="仿宋_GB2312"/>
          <w:color w:val="000000"/>
          <w:sz w:val="32"/>
          <w:szCs w:val="32"/>
          <w:vertAlign w:val="subscript"/>
        </w:rPr>
        <w:t>3</w:t>
      </w:r>
      <w:r>
        <w:rPr>
          <w:rFonts w:hint="eastAsia" w:ascii="仿宋_GB2312" w:hAnsi="宋体" w:eastAsia="仿宋_GB2312"/>
          <w:color w:val="000000"/>
          <w:sz w:val="32"/>
          <w:szCs w:val="32"/>
        </w:rPr>
        <w:t>受体拮抗剂类药物和抗抑郁药物。便秘症状，通常会持续发生于阿片类药物止痛治疗全过程，多数患者需要使用缓泻剂来防治便秘，因此，在应用阿片类药物止痛时宜常规合并应用缓泻剂。如果出现过度镇静、精神异常等不良反应，</w:t>
      </w:r>
      <w:bookmarkStart w:id="26" w:name="OLE_LINK4"/>
      <w:bookmarkStart w:id="27" w:name="OLE_LINK3"/>
      <w:r>
        <w:rPr>
          <w:rFonts w:hint="eastAsia" w:ascii="仿宋_GB2312" w:hAnsi="宋体" w:eastAsia="仿宋_GB2312"/>
          <w:color w:val="000000"/>
          <w:sz w:val="32"/>
          <w:szCs w:val="32"/>
        </w:rPr>
        <w:t>应当注意其他因素的影响，包括肝肾功能不全、高血钙症、代谢异常以及合用精神类药物等；同时，需要减少阿片类药物用药剂量，甚至停用和更换止痛药。</w:t>
      </w:r>
      <w:bookmarkEnd w:id="26"/>
      <w:bookmarkEnd w:id="27"/>
    </w:p>
    <w:p>
      <w:pPr>
        <w:pStyle w:val="2"/>
        <w:adjustRightInd w:val="0"/>
        <w:snapToGrid w:val="0"/>
        <w:spacing w:line="360" w:lineRule="auto"/>
        <w:ind w:firstLine="643" w:firstLineChars="200"/>
        <w:rPr>
          <w:rFonts w:hint="eastAsia" w:ascii="仿宋_GB2312" w:hAnsi="Times New Roman" w:eastAsia="仿宋_GB2312"/>
          <w:b/>
          <w:color w:val="000000"/>
          <w:sz w:val="32"/>
          <w:szCs w:val="32"/>
        </w:rPr>
      </w:pPr>
      <w:bookmarkStart w:id="28" w:name="OLE_LINK7"/>
      <w:r>
        <w:rPr>
          <w:rFonts w:hint="eastAsia" w:ascii="仿宋_GB2312" w:hAnsi="Times New Roman" w:eastAsia="仿宋_GB2312"/>
          <w:b/>
          <w:color w:val="000000"/>
          <w:sz w:val="32"/>
          <w:szCs w:val="32"/>
        </w:rPr>
        <w:t>3）</w:t>
      </w:r>
      <w:r>
        <w:rPr>
          <w:rFonts w:hint="eastAsia" w:ascii="仿宋_GB2312" w:hAnsi="宋体" w:eastAsia="仿宋_GB2312"/>
          <w:b/>
          <w:color w:val="000000"/>
          <w:sz w:val="32"/>
          <w:szCs w:val="32"/>
        </w:rPr>
        <w:t>辅助镇痛用药</w:t>
      </w:r>
      <w:bookmarkEnd w:id="28"/>
      <w:r>
        <w:rPr>
          <w:rFonts w:hint="eastAsia" w:ascii="仿宋_GB2312" w:hAnsi="宋体" w:eastAsia="仿宋_GB2312"/>
          <w:b/>
          <w:color w:val="000000"/>
          <w:sz w:val="32"/>
          <w:szCs w:val="32"/>
        </w:rPr>
        <w:t>。</w:t>
      </w:r>
      <w:r>
        <w:rPr>
          <w:rFonts w:hint="eastAsia" w:ascii="仿宋_GB2312" w:hAnsi="宋体" w:eastAsia="仿宋_GB2312"/>
          <w:color w:val="000000"/>
          <w:sz w:val="32"/>
          <w:szCs w:val="32"/>
        </w:rPr>
        <w:t>辅助镇痛药物，顾名思义能够辅助性增强阿片类药物的止痛效果，或直接产生一定的镇痛作用；包括抗惊厥类药物、抗抑郁类药物、皮质激素、N-甲基-D-天冬氨酸受体（</w:t>
      </w:r>
      <w:r>
        <w:rPr>
          <w:rFonts w:hint="eastAsia" w:ascii="仿宋_GB2312" w:hAnsi="Times New Roman" w:eastAsia="仿宋_GB2312"/>
          <w:color w:val="000000"/>
          <w:sz w:val="32"/>
          <w:szCs w:val="32"/>
        </w:rPr>
        <w:t>NMDA</w:t>
      </w:r>
      <w:r>
        <w:rPr>
          <w:rFonts w:hint="eastAsia" w:ascii="仿宋_GB2312" w:hAnsi="宋体" w:eastAsia="仿宋_GB2312"/>
          <w:color w:val="000000"/>
          <w:sz w:val="32"/>
          <w:szCs w:val="32"/>
        </w:rPr>
        <w:t>）拮抗剂和局部麻醉药等。辅助镇痛药常用于辅助治疗神经病理性疼痛、骨痛和内脏痛。辅助用药的种类选择和剂量调整，也需要个体化对待。常用于神经病理性疼痛的辅助药物：</w:t>
      </w:r>
    </w:p>
    <w:p>
      <w:pPr>
        <w:pStyle w:val="2"/>
        <w:adjustRightInd w:val="0"/>
        <w:snapToGrid w:val="0"/>
        <w:spacing w:line="360" w:lineRule="auto"/>
        <w:ind w:firstLine="400" w:firstLineChars="200"/>
        <w:rPr>
          <w:rFonts w:hint="eastAsia" w:ascii="仿宋_GB2312" w:hAnsi="宋体" w:eastAsia="仿宋_GB2312"/>
          <w:color w:val="000000"/>
          <w:sz w:val="32"/>
          <w:szCs w:val="32"/>
        </w:rPr>
      </w:pPr>
      <w:r>
        <w:rPr>
          <w:rFonts w:hint="eastAsia"/>
        </w:rPr>
        <w:fldChar w:fldCharType="begin"/>
      </w:r>
      <w:r>
        <w:rPr>
          <w:rFonts w:hint="eastAsia" w:ascii="仿宋_GB2312" w:hAnsi="宋体" w:eastAsia="仿宋_GB2312"/>
          <w:color w:val="000000"/>
          <w:sz w:val="32"/>
          <w:szCs w:val="32"/>
        </w:rPr>
        <w:instrText xml:space="preserve"> = 1 \* GB3 </w:instrText>
      </w:r>
      <w:r>
        <w:fldChar w:fldCharType="separate"/>
      </w:r>
      <w:r>
        <w:rPr>
          <w:rFonts w:hint="eastAsia" w:ascii="仿宋_GB2312" w:hAnsi="宋体" w:eastAsia="仿宋_GB2312"/>
          <w:color w:val="000000"/>
          <w:sz w:val="32"/>
          <w:szCs w:val="32"/>
        </w:rPr>
        <w:t>①</w:t>
      </w:r>
      <w:r>
        <w:rPr>
          <w:rFonts w:hint="eastAsia"/>
        </w:rPr>
        <w:fldChar w:fldCharType="end"/>
      </w:r>
      <w:r>
        <w:rPr>
          <w:rFonts w:hint="eastAsia" w:ascii="仿宋_GB2312" w:hAnsi="宋体" w:eastAsia="仿宋_GB2312"/>
          <w:color w:val="000000"/>
          <w:sz w:val="32"/>
          <w:szCs w:val="32"/>
        </w:rPr>
        <w:t>抗惊厥类药物：用于神经损伤所致的撕裂痛、放电样疼痛及烧灼痛。</w:t>
      </w:r>
    </w:p>
    <w:p>
      <w:pPr>
        <w:pStyle w:val="2"/>
        <w:adjustRightInd w:val="0"/>
        <w:snapToGrid w:val="0"/>
        <w:spacing w:line="360" w:lineRule="auto"/>
        <w:ind w:firstLine="400" w:firstLineChars="200"/>
        <w:rPr>
          <w:rFonts w:hint="eastAsia" w:ascii="仿宋_GB2312" w:hAnsi="Times New Roman" w:eastAsia="仿宋_GB2312"/>
          <w:b/>
          <w:color w:val="000000"/>
          <w:sz w:val="32"/>
          <w:szCs w:val="32"/>
        </w:rPr>
      </w:pPr>
      <w:bookmarkStart w:id="29" w:name="OLE_LINK8"/>
      <w:bookmarkStart w:id="30" w:name="OLE_LINK9"/>
      <w:r>
        <w:rPr>
          <w:rFonts w:hint="eastAsia"/>
        </w:rPr>
        <w:fldChar w:fldCharType="begin"/>
      </w:r>
      <w:r>
        <w:rPr>
          <w:rFonts w:hint="eastAsia" w:ascii="仿宋_GB2312" w:hAnsi="宋体" w:eastAsia="仿宋_GB2312"/>
          <w:color w:val="000000"/>
          <w:sz w:val="32"/>
          <w:szCs w:val="32"/>
        </w:rPr>
        <w:instrText xml:space="preserve"> = 2 \* GB3 </w:instrText>
      </w:r>
      <w:r>
        <w:fldChar w:fldCharType="separate"/>
      </w:r>
      <w:r>
        <w:rPr>
          <w:rFonts w:hint="eastAsia" w:ascii="仿宋_GB2312" w:hAnsi="宋体" w:eastAsia="仿宋_GB2312"/>
          <w:color w:val="000000"/>
          <w:sz w:val="32"/>
          <w:szCs w:val="32"/>
        </w:rPr>
        <w:t>②</w:t>
      </w:r>
      <w:r>
        <w:rPr>
          <w:rFonts w:hint="eastAsia"/>
        </w:rPr>
        <w:fldChar w:fldCharType="end"/>
      </w:r>
      <w:r>
        <w:rPr>
          <w:rFonts w:hint="eastAsia" w:ascii="仿宋_GB2312" w:hAnsi="宋体" w:eastAsia="仿宋_GB2312"/>
          <w:color w:val="000000"/>
          <w:sz w:val="32"/>
          <w:szCs w:val="32"/>
        </w:rPr>
        <w:t>三环类抗抑郁药：</w:t>
      </w:r>
      <w:bookmarkEnd w:id="29"/>
      <w:bookmarkEnd w:id="30"/>
      <w:bookmarkStart w:id="31" w:name="OLE_LINK12"/>
      <w:bookmarkStart w:id="32" w:name="OLE_LINK11"/>
      <w:r>
        <w:rPr>
          <w:rFonts w:hint="eastAsia" w:ascii="仿宋_GB2312" w:hAnsi="宋体" w:eastAsia="仿宋_GB2312"/>
          <w:color w:val="000000"/>
          <w:sz w:val="32"/>
          <w:szCs w:val="32"/>
        </w:rPr>
        <w:t>用于中枢性或外周神经损伤所致的麻木样痛、灼痛，该类药物也可以改善心情、改善睡眠。</w:t>
      </w:r>
      <w:bookmarkEnd w:id="31"/>
      <w:bookmarkEnd w:id="32"/>
      <w:bookmarkStart w:id="33" w:name="OLE_LINK10"/>
    </w:p>
    <w:bookmarkEnd w:id="33"/>
    <w:p>
      <w:pPr>
        <w:pStyle w:val="10"/>
        <w:adjustRightInd w:val="0"/>
        <w:snapToGrid w:val="0"/>
        <w:spacing w:line="360" w:lineRule="auto"/>
        <w:ind w:firstLine="640"/>
        <w:rPr>
          <w:rFonts w:hint="eastAsia" w:ascii="仿宋_GB2312" w:hAnsi="Times New Roman" w:eastAsia="仿宋_GB2312"/>
          <w:color w:val="000000"/>
          <w:sz w:val="32"/>
          <w:szCs w:val="32"/>
        </w:rPr>
      </w:pPr>
      <w:r>
        <w:rPr>
          <w:rFonts w:hint="eastAsia" w:ascii="仿宋_GB2312" w:eastAsia="仿宋_GB2312"/>
          <w:color w:val="000000"/>
          <w:sz w:val="32"/>
          <w:szCs w:val="32"/>
        </w:rPr>
        <w:t>对于癌痛采用药物治疗期间，应当在病历中及时、详细记录疼痛评分变化和药物的不良反应，以确保患者的癌痛获得有效、安全、持续控制或缓解。</w:t>
      </w:r>
    </w:p>
    <w:p>
      <w:pPr>
        <w:pStyle w:val="10"/>
        <w:adjustRightInd w:val="0"/>
        <w:snapToGrid w:val="0"/>
        <w:spacing w:line="360" w:lineRule="auto"/>
        <w:ind w:firstLine="643"/>
        <w:rPr>
          <w:rFonts w:hint="eastAsia" w:ascii="仿宋_GB2312" w:eastAsia="仿宋_GB2312"/>
          <w:color w:val="000000"/>
          <w:sz w:val="32"/>
          <w:szCs w:val="32"/>
        </w:rPr>
      </w:pPr>
      <w:r>
        <w:rPr>
          <w:rFonts w:hint="eastAsia" w:ascii="仿宋_GB2312" w:eastAsia="仿宋_GB2312"/>
          <w:b/>
          <w:color w:val="000000"/>
          <w:sz w:val="32"/>
          <w:szCs w:val="32"/>
        </w:rPr>
        <w:t xml:space="preserve"> 3.非药物治疗。</w:t>
      </w:r>
      <w:r>
        <w:rPr>
          <w:rFonts w:hint="eastAsia" w:ascii="仿宋_GB2312" w:eastAsia="仿宋_GB2312"/>
          <w:color w:val="000000"/>
          <w:sz w:val="32"/>
          <w:szCs w:val="32"/>
        </w:rPr>
        <w:t>用于癌痛治疗的非药物治疗方法，主要有介入治疗、放疗（姑息性止痛放疗）、</w:t>
      </w:r>
      <w:r>
        <w:rPr>
          <w:rFonts w:hint="eastAsia" w:ascii="仿宋_GB2312" w:eastAsia="仿宋_GB2312"/>
          <w:color w:val="000000"/>
          <w:position w:val="-2"/>
          <w:sz w:val="32"/>
          <w:szCs w:val="32"/>
        </w:rPr>
        <w:t>针灸、经皮穴位电刺激等物理治疗、</w:t>
      </w:r>
      <w:r>
        <w:rPr>
          <w:rFonts w:hint="eastAsia" w:ascii="仿宋_GB2312" w:eastAsia="仿宋_GB2312"/>
          <w:color w:val="000000"/>
          <w:sz w:val="32"/>
          <w:szCs w:val="32"/>
        </w:rPr>
        <w:t>认知-行为训练以及社会心理支持治疗等。适当地应用非药物疗法，可以作为药物止痛治疗的有益补充；而与止痛药物治疗联用，可能增加止痛治疗的效果。</w:t>
      </w:r>
    </w:p>
    <w:p>
      <w:pPr>
        <w:pStyle w:val="10"/>
        <w:adjustRightInd w:val="0"/>
        <w:snapToGrid w:val="0"/>
        <w:spacing w:line="360" w:lineRule="auto"/>
        <w:ind w:firstLine="640"/>
        <w:rPr>
          <w:rFonts w:hint="eastAsia" w:ascii="仿宋_GB2312" w:hAnsi="Times New Roman" w:eastAsia="仿宋_GB2312"/>
          <w:b/>
          <w:color w:val="000000"/>
          <w:sz w:val="32"/>
          <w:szCs w:val="32"/>
        </w:rPr>
      </w:pPr>
      <w:r>
        <w:rPr>
          <w:rFonts w:hint="eastAsia" w:ascii="仿宋_GB2312" w:eastAsia="仿宋_GB2312"/>
          <w:color w:val="000000"/>
          <w:sz w:val="32"/>
          <w:szCs w:val="32"/>
        </w:rPr>
        <w:t>介入治疗是指神经阻滞、神经松解术、经</w:t>
      </w:r>
      <w:r>
        <w:rPr>
          <w:rFonts w:hint="eastAsia" w:ascii="仿宋_GB2312" w:eastAsia="仿宋_GB2312"/>
          <w:color w:val="000000"/>
          <w:position w:val="-2"/>
          <w:sz w:val="32"/>
          <w:szCs w:val="32"/>
        </w:rPr>
        <w:t>皮椎体成形术、神经损毁性手术、神经刺激疗法以及射频消融术等干预性治疗措施。硬膜外、椎管内或神经丛阻滞等途径给药，可通过单神经阻滞而有效控制癌痛，有利于减轻阿片类药物的胃肠道反应，降低阿片类药物的使用剂量。介入治疗前，应当综合评估患者的体能状况、预期生存时间、是否存在抗肿瘤治疗指征、介入治疗适应证、潜在获益和风险等。</w:t>
      </w:r>
      <w:r>
        <w:rPr>
          <w:rFonts w:hint="eastAsia" w:ascii="仿宋_GB2312" w:eastAsia="仿宋_GB2312"/>
          <w:color w:val="000000"/>
          <w:sz w:val="32"/>
          <w:szCs w:val="32"/>
        </w:rPr>
        <w:t>放疗（姑息性止痛放疗）常常用于控制骨转移或者肿瘤压迫引起的癌痛。</w:t>
      </w:r>
    </w:p>
    <w:p>
      <w:pPr>
        <w:adjustRightInd w:val="0"/>
        <w:snapToGrid w:val="0"/>
        <w:spacing w:line="360" w:lineRule="auto"/>
        <w:ind w:firstLine="640" w:firstLineChars="200"/>
        <w:rPr>
          <w:rFonts w:hint="eastAsia" w:ascii="黑体" w:hAnsi="黑体" w:eastAsia="黑体" w:cs="黑体"/>
          <w:bCs/>
          <w:color w:val="000000"/>
          <w:position w:val="-2"/>
          <w:szCs w:val="32"/>
        </w:rPr>
      </w:pPr>
      <w:bookmarkStart w:id="34" w:name="OLE_LINK14"/>
      <w:bookmarkStart w:id="35" w:name="OLE_LINK13"/>
      <w:r>
        <w:rPr>
          <w:rFonts w:hint="eastAsia" w:ascii="黑体" w:hAnsi="黑体" w:eastAsia="黑体" w:cs="黑体"/>
          <w:bCs/>
          <w:color w:val="000000"/>
          <w:position w:val="-2"/>
          <w:szCs w:val="32"/>
        </w:rPr>
        <w:t>五、患者和家属宣教随访</w:t>
      </w:r>
      <w:bookmarkEnd w:id="34"/>
      <w:bookmarkEnd w:id="35"/>
    </w:p>
    <w:p>
      <w:pPr>
        <w:adjustRightInd w:val="0"/>
        <w:snapToGrid w:val="0"/>
        <w:spacing w:line="360" w:lineRule="auto"/>
        <w:ind w:firstLine="640" w:firstLineChars="200"/>
        <w:rPr>
          <w:rFonts w:hint="eastAsia" w:ascii="仿宋_GB2312" w:hAnsi="宋体"/>
          <w:color w:val="000000"/>
          <w:position w:val="-2"/>
          <w:szCs w:val="36"/>
        </w:rPr>
      </w:pPr>
      <w:r>
        <w:rPr>
          <w:rFonts w:hint="eastAsia" w:ascii="仿宋_GB2312" w:hAnsi="宋体"/>
          <w:color w:val="000000"/>
          <w:position w:val="-2"/>
          <w:szCs w:val="36"/>
        </w:rPr>
        <w:t>（一）患者和家属宣教。癌痛治疗过程中，患者及其家属的理解和配合至关重要，应当有针对性地开展止痛知识宣传教育。重点宣教以下内容：鼓励患者主动向医护人员如实描述疼痛的情况；说明止痛治疗是肿瘤综合治疗的重要部分，忍痛对患者有害无益；多数癌痛可以通过药物治疗有效控制，患者应当在医师指导下进行止痛治疗，按要求规律服药，不宜自行调整止痛方案和药物（种类、用法和剂量等）；吗啡及其同类药物是癌痛治疗的常用药物，</w:t>
      </w:r>
      <w:r>
        <w:rPr>
          <w:rFonts w:hint="eastAsia" w:ascii="仿宋_GB2312" w:hAnsi="宋体"/>
          <w:color w:val="000000"/>
          <w:szCs w:val="36"/>
        </w:rPr>
        <w:t>在癌痛治疗时应用吗啡类药物引起“成瘾”的现象极为罕见；</w:t>
      </w:r>
      <w:r>
        <w:rPr>
          <w:rFonts w:hint="eastAsia" w:ascii="仿宋_GB2312" w:hAnsi="宋体"/>
          <w:color w:val="000000"/>
          <w:position w:val="-2"/>
          <w:szCs w:val="36"/>
        </w:rPr>
        <w:t>应当确保药物妥善放置，保证安全；止痛治疗时，要密切观察、记录疗效和药物的不良反应，及时与医务人员沟通交流，调整治疗目标及治疗措施；应当定期复诊或遵嘱随访。</w:t>
      </w:r>
    </w:p>
    <w:p>
      <w:pPr>
        <w:adjustRightInd w:val="0"/>
        <w:snapToGrid w:val="0"/>
        <w:spacing w:line="360" w:lineRule="auto"/>
        <w:ind w:firstLine="640" w:firstLineChars="200"/>
        <w:rPr>
          <w:rFonts w:hint="eastAsia" w:ascii="黑体" w:hAnsi="黑体" w:eastAsia="黑体"/>
          <w:color w:val="000000"/>
          <w:position w:val="-2"/>
          <w:szCs w:val="36"/>
        </w:rPr>
      </w:pPr>
      <w:bookmarkStart w:id="36" w:name="OLE_LINK16"/>
      <w:bookmarkStart w:id="37" w:name="OLE_LINK15"/>
      <w:bookmarkStart w:id="38" w:name="OLE_LINK17"/>
      <w:bookmarkStart w:id="39" w:name="OLE_LINK18"/>
      <w:r>
        <w:rPr>
          <w:rFonts w:hint="eastAsia" w:ascii="仿宋_GB2312" w:hAnsi="宋体"/>
          <w:color w:val="000000"/>
          <w:position w:val="-2"/>
          <w:szCs w:val="36"/>
        </w:rPr>
        <w:t>（二） 患者随访。应当建立健全癌痛患者的随访制度。对于接受癌痛规范化治疗的患者进行定期的随访、疼痛评估并记录用药情况，开展患者教育和指导，注重以人文关怀，最大限度满足病人的镇痛需要，保障其获得持续、合理、安全、有效的治疗。</w:t>
      </w:r>
      <w:bookmarkEnd w:id="36"/>
      <w:bookmarkEnd w:id="37"/>
      <w:r>
        <w:rPr>
          <w:rFonts w:hint="eastAsia" w:ascii="仿宋_GB2312" w:hAnsi="宋体"/>
          <w:color w:val="000000"/>
          <w:position w:val="-2"/>
          <w:szCs w:val="36"/>
        </w:rPr>
        <w:t xml:space="preserve"> </w:t>
      </w:r>
    </w:p>
    <w:bookmarkEnd w:id="38"/>
    <w:bookmarkEnd w:id="39"/>
    <w:p>
      <w:pPr>
        <w:adjustRightInd w:val="0"/>
        <w:snapToGrid w:val="0"/>
        <w:spacing w:line="360" w:lineRule="auto"/>
        <w:ind w:firstLine="480" w:firstLineChars="200"/>
        <w:rPr>
          <w:rFonts w:hint="eastAsia" w:ascii="仿宋_GB2312"/>
          <w:color w:val="000000"/>
          <w:position w:val="-2"/>
          <w:sz w:val="24"/>
        </w:rPr>
      </w:pPr>
    </w:p>
    <w:p>
      <w:pPr>
        <w:widowControl/>
        <w:jc w:val="left"/>
        <w:rPr>
          <w:rFonts w:hint="eastAsia" w:ascii="仿宋_GB2312" w:hAnsi="宋体"/>
          <w:color w:val="000000"/>
          <w:sz w:val="24"/>
          <w:lang w:val="en-GB"/>
        </w:rPr>
      </w:pPr>
    </w:p>
    <w:p>
      <w:pPr>
        <w:pStyle w:val="10"/>
        <w:adjustRightInd w:val="0"/>
        <w:snapToGrid w:val="0"/>
        <w:spacing w:line="360" w:lineRule="auto"/>
        <w:ind w:firstLine="0" w:firstLineChars="0"/>
        <w:rPr>
          <w:rFonts w:hint="eastAsia" w:ascii="仿宋_GB2312" w:eastAsia="仿宋_GB2312"/>
          <w:color w:val="000000"/>
          <w:position w:val="-2"/>
          <w:sz w:val="32"/>
          <w:szCs w:val="36"/>
          <w:lang w:val="en-US"/>
        </w:rPr>
      </w:pPr>
      <w:r>
        <w:rPr>
          <w:rFonts w:hint="eastAsia" w:ascii="仿宋_GB2312" w:eastAsia="仿宋_GB2312"/>
          <w:color w:val="000000"/>
          <w:position w:val="-2"/>
          <w:sz w:val="32"/>
          <w:szCs w:val="36"/>
          <w:lang w:val="en-US"/>
        </w:rPr>
        <w:t>附件:1.《癌症疼痛诊疗规范（2018版）》编写专家委员会</w:t>
      </w:r>
    </w:p>
    <w:p>
      <w:pPr>
        <w:pStyle w:val="10"/>
        <w:adjustRightInd w:val="0"/>
        <w:snapToGrid w:val="0"/>
        <w:spacing w:line="360" w:lineRule="auto"/>
        <w:ind w:firstLine="320" w:firstLineChars="100"/>
        <w:rPr>
          <w:rFonts w:hint="eastAsia" w:ascii="仿宋_GB2312" w:eastAsia="仿宋_GB2312"/>
          <w:color w:val="000000"/>
          <w:position w:val="-2"/>
          <w:sz w:val="32"/>
          <w:szCs w:val="36"/>
          <w:lang w:val="en-US"/>
        </w:rPr>
      </w:pPr>
      <w:r>
        <w:rPr>
          <w:rFonts w:hint="eastAsia" w:ascii="仿宋_GB2312" w:eastAsia="仿宋_GB2312"/>
          <w:color w:val="000000"/>
          <w:position w:val="-2"/>
          <w:sz w:val="32"/>
          <w:szCs w:val="36"/>
          <w:lang w:val="en-US"/>
        </w:rPr>
        <w:t xml:space="preserve">   2.简明疼痛评估量表(BPI)</w:t>
      </w:r>
    </w:p>
    <w:p>
      <w:pPr>
        <w:pStyle w:val="10"/>
        <w:tabs>
          <w:tab w:val="left" w:pos="3540"/>
        </w:tabs>
        <w:adjustRightInd w:val="0"/>
        <w:snapToGrid w:val="0"/>
        <w:spacing w:line="360" w:lineRule="auto"/>
        <w:ind w:firstLine="320" w:firstLineChars="100"/>
        <w:rPr>
          <w:rFonts w:hint="eastAsia" w:ascii="仿宋_GB2312" w:eastAsia="仿宋_GB2312"/>
          <w:color w:val="000000"/>
          <w:position w:val="-2"/>
          <w:sz w:val="32"/>
          <w:szCs w:val="36"/>
          <w:lang w:val="en-US"/>
        </w:rPr>
      </w:pPr>
      <w:r>
        <w:rPr>
          <w:rFonts w:hint="eastAsia" w:ascii="仿宋_GB2312" w:eastAsia="仿宋_GB2312"/>
          <w:color w:val="000000"/>
          <w:position w:val="-2"/>
          <w:sz w:val="32"/>
          <w:szCs w:val="36"/>
          <w:lang w:val="en-US"/>
        </w:rPr>
        <w:t xml:space="preserve">   3.常用癌痛治疗药物表</w:t>
      </w:r>
      <w:r>
        <w:rPr>
          <w:rFonts w:hint="eastAsia" w:ascii="仿宋_GB2312" w:eastAsia="仿宋_GB2312"/>
          <w:color w:val="000000"/>
          <w:position w:val="-2"/>
          <w:sz w:val="32"/>
          <w:szCs w:val="36"/>
          <w:lang w:val="en-US"/>
        </w:rPr>
        <w:tab/>
      </w:r>
    </w:p>
    <w:p>
      <w:pPr>
        <w:tabs>
          <w:tab w:val="left" w:pos="1064"/>
          <w:tab w:val="center" w:pos="4153"/>
        </w:tabs>
        <w:spacing w:line="300" w:lineRule="exact"/>
        <w:ind w:left="-864" w:leftChars="-270"/>
        <w:rPr>
          <w:rFonts w:hint="eastAsia" w:ascii="黑体" w:hAnsi="宋体" w:eastAsia="黑体"/>
          <w:color w:val="000000"/>
          <w:sz w:val="24"/>
          <w:lang w:val="en-GB"/>
        </w:rPr>
      </w:pPr>
      <w:r>
        <w:rPr>
          <w:rFonts w:hint="eastAsia" w:ascii="宋体" w:hAnsi="宋体" w:eastAsia="宋体" w:cs="宋体"/>
          <w:b/>
          <w:spacing w:val="8"/>
          <w:kern w:val="0"/>
          <w:sz w:val="24"/>
        </w:rPr>
        <w:t xml:space="preserve">    </w:t>
      </w:r>
    </w:p>
    <w:p>
      <w:pPr>
        <w:adjustRightInd w:val="0"/>
        <w:snapToGrid w:val="0"/>
        <w:spacing w:line="360" w:lineRule="auto"/>
        <w:rPr>
          <w:rFonts w:hint="eastAsia" w:ascii="黑体" w:hAnsi="宋体" w:eastAsia="黑体"/>
          <w:color w:val="000000"/>
          <w:sz w:val="24"/>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黑体" w:hAnsi="宋体" w:eastAsia="黑体"/>
          <w:color w:val="000000"/>
          <w:lang w:val="en-GB"/>
        </w:rPr>
      </w:pPr>
    </w:p>
    <w:p>
      <w:pPr>
        <w:adjustRightInd w:val="0"/>
        <w:snapToGrid w:val="0"/>
        <w:spacing w:line="360" w:lineRule="auto"/>
        <w:rPr>
          <w:rFonts w:hint="eastAsia" w:ascii="宋体" w:hAnsi="宋体"/>
          <w:b/>
          <w:color w:val="000000"/>
          <w:sz w:val="36"/>
        </w:rPr>
      </w:pPr>
      <w:r>
        <w:rPr>
          <w:rFonts w:hint="eastAsia" w:ascii="黑体" w:hAnsi="宋体" w:eastAsia="黑体"/>
          <w:color w:val="000000"/>
          <w:lang w:val="en-GB"/>
        </w:rPr>
        <w:t>附件1</w:t>
      </w:r>
      <w:r>
        <w:rPr>
          <w:rFonts w:hint="eastAsia" w:ascii="宋体" w:hAnsi="宋体"/>
          <w:b/>
          <w:color w:val="000000"/>
          <w:sz w:val="36"/>
          <w:lang w:val="en-GB"/>
        </w:rPr>
        <w:t xml:space="preserve"> </w:t>
      </w:r>
    </w:p>
    <w:p>
      <w:pPr>
        <w:adjustRightInd w:val="0"/>
        <w:snapToGrid w:val="0"/>
        <w:spacing w:line="360" w:lineRule="auto"/>
        <w:jc w:val="center"/>
        <w:rPr>
          <w:rFonts w:hint="eastAsia" w:ascii="宋体" w:hAnsi="宋体" w:eastAsia="宋体"/>
          <w:b/>
          <w:color w:val="000000"/>
          <w:sz w:val="44"/>
          <w:szCs w:val="44"/>
        </w:rPr>
      </w:pPr>
      <w:r>
        <w:rPr>
          <w:rFonts w:hint="eastAsia" w:ascii="宋体" w:hAnsi="宋体" w:eastAsia="宋体"/>
          <w:b/>
          <w:color w:val="000000"/>
          <w:sz w:val="44"/>
          <w:szCs w:val="44"/>
        </w:rPr>
        <w:t>《癌症疼痛诊疗规范（2018年版）》</w:t>
      </w:r>
    </w:p>
    <w:p>
      <w:pPr>
        <w:adjustRightInd w:val="0"/>
        <w:snapToGrid w:val="0"/>
        <w:spacing w:line="360" w:lineRule="auto"/>
        <w:jc w:val="center"/>
        <w:rPr>
          <w:rFonts w:hint="eastAsia" w:ascii="宋体" w:hAnsi="宋体" w:eastAsia="宋体"/>
          <w:b/>
          <w:color w:val="000000"/>
          <w:sz w:val="44"/>
          <w:szCs w:val="44"/>
        </w:rPr>
      </w:pPr>
      <w:r>
        <w:rPr>
          <w:rFonts w:hint="eastAsia" w:ascii="宋体" w:hAnsi="宋体" w:eastAsia="宋体"/>
          <w:b/>
          <w:color w:val="000000"/>
          <w:sz w:val="44"/>
          <w:szCs w:val="44"/>
        </w:rPr>
        <w:t>编写专家委员会</w:t>
      </w:r>
    </w:p>
    <w:p>
      <w:pPr>
        <w:adjustRightInd w:val="0"/>
        <w:snapToGrid w:val="0"/>
        <w:spacing w:line="360" w:lineRule="auto"/>
        <w:jc w:val="center"/>
        <w:rPr>
          <w:rFonts w:hint="eastAsia" w:ascii="宋体" w:hAnsi="宋体"/>
          <w:b/>
          <w:color w:val="000000"/>
          <w:sz w:val="44"/>
          <w:szCs w:val="44"/>
        </w:rPr>
      </w:pPr>
    </w:p>
    <w:p>
      <w:pPr>
        <w:adjustRightInd w:val="0"/>
        <w:snapToGrid w:val="0"/>
        <w:spacing w:line="360" w:lineRule="auto"/>
        <w:jc w:val="both"/>
        <w:rPr>
          <w:rFonts w:hint="eastAsia" w:ascii="楷体" w:hAnsi="楷体" w:eastAsia="楷体"/>
          <w:b/>
          <w:color w:val="000000"/>
          <w:szCs w:val="32"/>
        </w:rPr>
      </w:pPr>
      <w:r>
        <w:rPr>
          <w:rFonts w:hint="eastAsia" w:ascii="楷体" w:hAnsi="楷体" w:eastAsia="楷体"/>
          <w:b/>
          <w:color w:val="000000"/>
          <w:szCs w:val="32"/>
        </w:rPr>
        <w:t xml:space="preserve">学术顾问: </w:t>
      </w:r>
      <w:r>
        <w:rPr>
          <w:rFonts w:hint="eastAsia" w:ascii="楷体" w:hAnsi="楷体" w:eastAsia="楷体"/>
          <w:color w:val="000000"/>
          <w:szCs w:val="32"/>
        </w:rPr>
        <w:t xml:space="preserve">孙  燕  韩济生 </w:t>
      </w:r>
    </w:p>
    <w:p>
      <w:pPr>
        <w:adjustRightInd w:val="0"/>
        <w:snapToGrid w:val="0"/>
        <w:spacing w:line="360" w:lineRule="auto"/>
        <w:jc w:val="both"/>
        <w:rPr>
          <w:rFonts w:hint="eastAsia" w:ascii="楷体" w:hAnsi="楷体" w:eastAsia="楷体"/>
          <w:b/>
          <w:color w:val="000000"/>
          <w:szCs w:val="32"/>
        </w:rPr>
      </w:pPr>
      <w:r>
        <w:rPr>
          <w:rFonts w:hint="eastAsia" w:ascii="楷体" w:hAnsi="楷体" w:eastAsia="楷体"/>
          <w:b/>
          <w:color w:val="000000"/>
          <w:szCs w:val="32"/>
        </w:rPr>
        <w:t>主任委员：</w:t>
      </w:r>
      <w:r>
        <w:rPr>
          <w:rFonts w:hint="eastAsia" w:ascii="楷体" w:hAnsi="楷体" w:eastAsia="楷体"/>
          <w:color w:val="000000"/>
          <w:szCs w:val="32"/>
        </w:rPr>
        <w:t>秦叔逵</w:t>
      </w:r>
    </w:p>
    <w:p>
      <w:pPr>
        <w:adjustRightInd w:val="0"/>
        <w:snapToGrid w:val="0"/>
        <w:spacing w:line="360" w:lineRule="auto"/>
        <w:jc w:val="both"/>
        <w:rPr>
          <w:rFonts w:hint="eastAsia" w:ascii="楷体" w:hAnsi="楷体" w:eastAsia="楷体"/>
          <w:color w:val="000000"/>
          <w:szCs w:val="32"/>
        </w:rPr>
      </w:pPr>
      <w:r>
        <w:rPr>
          <w:rFonts w:hint="eastAsia" w:ascii="楷体" w:hAnsi="楷体" w:eastAsia="楷体"/>
          <w:b/>
          <w:color w:val="000000"/>
          <w:szCs w:val="32"/>
        </w:rPr>
        <w:t>副主任委员：</w:t>
      </w:r>
      <w:r>
        <w:rPr>
          <w:rFonts w:hint="eastAsia" w:ascii="楷体" w:hAnsi="楷体" w:eastAsia="楷体"/>
          <w:color w:val="000000"/>
          <w:szCs w:val="32"/>
        </w:rPr>
        <w:t xml:space="preserve">王杰军  于世英  张  力  樊碧发  黄宇光  </w:t>
      </w:r>
    </w:p>
    <w:p>
      <w:pPr>
        <w:adjustRightInd w:val="0"/>
        <w:snapToGrid w:val="0"/>
        <w:spacing w:line="360" w:lineRule="auto"/>
        <w:jc w:val="both"/>
        <w:rPr>
          <w:rFonts w:hint="eastAsia" w:ascii="楷体" w:hAnsi="楷体" w:eastAsia="楷体"/>
          <w:color w:val="000000"/>
          <w:szCs w:val="32"/>
        </w:rPr>
      </w:pPr>
      <w:r>
        <w:rPr>
          <w:rFonts w:hint="eastAsia" w:ascii="楷体" w:hAnsi="楷体" w:eastAsia="楷体"/>
          <w:color w:val="000000"/>
          <w:szCs w:val="32"/>
        </w:rPr>
        <w:t>梁  军</w:t>
      </w:r>
    </w:p>
    <w:p>
      <w:pPr>
        <w:adjustRightInd w:val="0"/>
        <w:snapToGrid w:val="0"/>
        <w:spacing w:line="360" w:lineRule="auto"/>
        <w:jc w:val="both"/>
        <w:rPr>
          <w:rFonts w:hint="eastAsia" w:ascii="楷体" w:hAnsi="楷体" w:eastAsia="楷体"/>
          <w:b/>
          <w:color w:val="000000"/>
          <w:szCs w:val="32"/>
        </w:rPr>
      </w:pPr>
      <w:r>
        <w:rPr>
          <w:rFonts w:hint="eastAsia" w:ascii="楷体" w:hAnsi="楷体" w:eastAsia="楷体"/>
          <w:b/>
          <w:color w:val="000000"/>
          <w:szCs w:val="32"/>
        </w:rPr>
        <w:t xml:space="preserve">委  员（按姓氏拼音排序）：    </w:t>
      </w:r>
    </w:p>
    <w:p>
      <w:pPr>
        <w:adjustRightInd w:val="0"/>
        <w:snapToGrid w:val="0"/>
        <w:spacing w:line="360" w:lineRule="auto"/>
        <w:jc w:val="both"/>
        <w:rPr>
          <w:rFonts w:hint="eastAsia" w:ascii="楷体" w:hAnsi="楷体" w:eastAsia="楷体"/>
          <w:color w:val="000000"/>
          <w:szCs w:val="32"/>
        </w:rPr>
      </w:pPr>
      <w:r>
        <w:rPr>
          <w:rFonts w:hint="eastAsia" w:ascii="楷体" w:hAnsi="楷体" w:eastAsia="楷体"/>
          <w:color w:val="000000"/>
          <w:szCs w:val="32"/>
        </w:rPr>
        <w:t>陈  元  陈映霞  冯继锋  胡  冰</w:t>
      </w:r>
      <w:r>
        <w:rPr>
          <w:rFonts w:hint="eastAsia" w:ascii="楷体" w:hAnsi="楷体" w:eastAsia="楷体"/>
          <w:color w:val="000000"/>
          <w:szCs w:val="32"/>
          <w:lang w:val="en-US" w:eastAsia="zh-CN"/>
        </w:rPr>
        <w:t xml:space="preserve"> </w:t>
      </w:r>
      <w:r>
        <w:rPr>
          <w:rFonts w:hint="eastAsia" w:ascii="楷体" w:hAnsi="楷体" w:eastAsia="楷体"/>
          <w:color w:val="000000"/>
          <w:szCs w:val="32"/>
        </w:rPr>
        <w:t xml:space="preserve"> 黄  诚  黄红兵  </w:t>
      </w:r>
    </w:p>
    <w:p>
      <w:pPr>
        <w:adjustRightInd w:val="0"/>
        <w:snapToGrid w:val="0"/>
        <w:spacing w:line="360" w:lineRule="auto"/>
        <w:jc w:val="both"/>
        <w:rPr>
          <w:rFonts w:hint="eastAsia" w:ascii="楷体" w:hAnsi="楷体" w:eastAsia="楷体"/>
          <w:color w:val="000000"/>
          <w:szCs w:val="32"/>
        </w:rPr>
      </w:pPr>
      <w:r>
        <w:rPr>
          <w:rFonts w:hint="eastAsia" w:ascii="楷体" w:hAnsi="楷体" w:eastAsia="楷体"/>
          <w:color w:val="000000"/>
          <w:szCs w:val="32"/>
        </w:rPr>
        <w:t>姜</w:t>
      </w:r>
      <w:r>
        <w:rPr>
          <w:rFonts w:hint="eastAsia" w:ascii="楷体" w:hAnsi="楷体" w:eastAsia="楷体"/>
          <w:color w:val="000000"/>
          <w:szCs w:val="32"/>
          <w:lang w:val="en-US" w:eastAsia="zh-CN"/>
        </w:rPr>
        <w:t xml:space="preserve">  </w:t>
      </w:r>
      <w:r>
        <w:rPr>
          <w:rFonts w:hint="eastAsia" w:ascii="楷体" w:hAnsi="楷体" w:eastAsia="楷体"/>
          <w:color w:val="000000"/>
          <w:szCs w:val="32"/>
        </w:rPr>
        <w:t xml:space="preserve">玲 </w:t>
      </w:r>
      <w:r>
        <w:rPr>
          <w:rFonts w:hint="eastAsia" w:ascii="楷体" w:hAnsi="楷体" w:eastAsia="楷体"/>
          <w:color w:val="000000"/>
          <w:szCs w:val="32"/>
          <w:lang w:val="en-US" w:eastAsia="zh-CN"/>
        </w:rPr>
        <w:t xml:space="preserve"> </w:t>
      </w:r>
      <w:r>
        <w:rPr>
          <w:rFonts w:hint="eastAsia" w:ascii="楷体" w:hAnsi="楷体" w:eastAsia="楷体"/>
          <w:color w:val="000000"/>
          <w:szCs w:val="32"/>
        </w:rPr>
        <w:t xml:space="preserve">李萍萍  李  玲  刘秀锋  刘  巍 </w:t>
      </w:r>
      <w:r>
        <w:rPr>
          <w:rFonts w:hint="eastAsia" w:ascii="楷体" w:hAnsi="楷体" w:eastAsia="楷体"/>
          <w:color w:val="000000"/>
          <w:szCs w:val="32"/>
          <w:lang w:val="en-US" w:eastAsia="zh-CN"/>
        </w:rPr>
        <w:t xml:space="preserve"> </w:t>
      </w:r>
      <w:r>
        <w:rPr>
          <w:rFonts w:hint="eastAsia" w:ascii="楷体" w:hAnsi="楷体" w:eastAsia="楷体"/>
          <w:color w:val="000000"/>
          <w:szCs w:val="32"/>
        </w:rPr>
        <w:t xml:space="preserve">罗素霞  </w:t>
      </w:r>
    </w:p>
    <w:p>
      <w:pPr>
        <w:adjustRightInd w:val="0"/>
        <w:snapToGrid w:val="0"/>
        <w:spacing w:line="360" w:lineRule="auto"/>
        <w:jc w:val="both"/>
        <w:rPr>
          <w:rFonts w:hint="eastAsia" w:ascii="楷体" w:hAnsi="楷体" w:eastAsia="楷体"/>
          <w:color w:val="000000"/>
          <w:szCs w:val="32"/>
        </w:rPr>
      </w:pPr>
      <w:r>
        <w:rPr>
          <w:rFonts w:hint="eastAsia" w:ascii="楷体" w:hAnsi="楷体" w:eastAsia="楷体"/>
          <w:color w:val="000000"/>
          <w:szCs w:val="32"/>
        </w:rPr>
        <w:t xml:space="preserve">米卫东 </w:t>
      </w:r>
      <w:r>
        <w:rPr>
          <w:rFonts w:hint="eastAsia" w:ascii="楷体" w:hAnsi="楷体" w:eastAsia="楷体"/>
          <w:color w:val="000000"/>
          <w:szCs w:val="32"/>
          <w:lang w:val="en-US" w:eastAsia="zh-CN"/>
        </w:rPr>
        <w:t xml:space="preserve"> </w:t>
      </w:r>
      <w:r>
        <w:rPr>
          <w:rFonts w:hint="eastAsia" w:ascii="楷体" w:hAnsi="楷体" w:eastAsia="楷体"/>
          <w:color w:val="000000"/>
          <w:szCs w:val="32"/>
        </w:rPr>
        <w:t xml:space="preserve">潘宏铭  吴敏慧  吴玉波  吴  穷  王  昆 </w:t>
      </w:r>
    </w:p>
    <w:p>
      <w:pPr>
        <w:adjustRightInd w:val="0"/>
        <w:snapToGrid w:val="0"/>
        <w:spacing w:line="360" w:lineRule="auto"/>
        <w:jc w:val="both"/>
        <w:rPr>
          <w:rFonts w:hint="eastAsia" w:ascii="楷体" w:hAnsi="楷体" w:eastAsia="楷体"/>
          <w:color w:val="000000"/>
          <w:szCs w:val="32"/>
        </w:rPr>
      </w:pPr>
      <w:r>
        <w:rPr>
          <w:rFonts w:hint="eastAsia" w:ascii="楷体" w:hAnsi="楷体" w:eastAsia="楷体"/>
          <w:color w:val="000000"/>
          <w:szCs w:val="32"/>
        </w:rPr>
        <w:t xml:space="preserve">王  琼  徐建国  殷咏梅 </w:t>
      </w:r>
      <w:r>
        <w:rPr>
          <w:rFonts w:hint="eastAsia" w:ascii="楷体" w:hAnsi="楷体" w:eastAsia="楷体"/>
          <w:color w:val="000000"/>
          <w:szCs w:val="32"/>
          <w:lang w:val="en-US" w:eastAsia="zh-CN"/>
        </w:rPr>
        <w:t xml:space="preserve"> </w:t>
      </w:r>
      <w:r>
        <w:rPr>
          <w:rFonts w:hint="eastAsia" w:ascii="楷体" w:hAnsi="楷体" w:eastAsia="楷体"/>
          <w:color w:val="000000"/>
          <w:szCs w:val="32"/>
        </w:rPr>
        <w:t xml:space="preserve">张沂平 </w:t>
      </w:r>
    </w:p>
    <w:p>
      <w:pPr>
        <w:adjustRightInd w:val="0"/>
        <w:snapToGrid w:val="0"/>
        <w:spacing w:line="360" w:lineRule="auto"/>
        <w:jc w:val="both"/>
        <w:rPr>
          <w:rFonts w:hint="eastAsia" w:ascii="楷体" w:hAnsi="楷体" w:eastAsia="楷体"/>
          <w:color w:val="000000"/>
          <w:szCs w:val="32"/>
        </w:rPr>
      </w:pPr>
      <w:r>
        <w:rPr>
          <w:rFonts w:hint="eastAsia" w:ascii="楷体" w:hAnsi="楷体" w:eastAsia="楷体"/>
          <w:b/>
          <w:color w:val="000000"/>
          <w:szCs w:val="32"/>
        </w:rPr>
        <w:t>秘  书：</w:t>
      </w:r>
      <w:r>
        <w:rPr>
          <w:rFonts w:hint="eastAsia" w:ascii="楷体" w:hAnsi="楷体" w:eastAsia="楷体"/>
          <w:color w:val="000000"/>
          <w:szCs w:val="32"/>
        </w:rPr>
        <w:t xml:space="preserve">刘  凌  罗林华 </w:t>
      </w:r>
    </w:p>
    <w:p>
      <w:pPr>
        <w:adjustRightInd w:val="0"/>
        <w:snapToGrid w:val="0"/>
        <w:spacing w:line="360" w:lineRule="auto"/>
        <w:rPr>
          <w:rFonts w:hint="eastAsia" w:ascii="黑体" w:hAnsi="宋体" w:eastAsia="黑体"/>
          <w:color w:val="000000"/>
          <w:lang w:val="en-GB"/>
        </w:rPr>
      </w:pPr>
      <w:r>
        <w:rPr>
          <w:rFonts w:hint="eastAsia" w:ascii="楷体" w:hAnsi="楷体" w:eastAsia="楷体"/>
          <w:color w:val="000000"/>
          <w:sz w:val="24"/>
        </w:rPr>
        <w:br w:type="page"/>
      </w:r>
    </w:p>
    <w:p>
      <w:pPr>
        <w:adjustRightInd w:val="0"/>
        <w:snapToGrid w:val="0"/>
        <w:spacing w:line="360" w:lineRule="auto"/>
        <w:jc w:val="left"/>
        <w:rPr>
          <w:rFonts w:hint="eastAsia" w:ascii="黑体" w:hAnsi="宋体" w:eastAsia="黑体"/>
          <w:color w:val="000000"/>
          <w:lang w:val="en-GB"/>
        </w:rPr>
      </w:pPr>
      <w:r>
        <w:rPr>
          <w:rFonts w:hint="eastAsia" w:ascii="黑体" w:hAnsi="宋体" w:eastAsia="黑体"/>
          <w:color w:val="000000"/>
          <w:lang w:val="en-GB"/>
        </w:rPr>
        <w:t xml:space="preserve"> 附件2</w:t>
      </w:r>
    </w:p>
    <w:p>
      <w:pPr>
        <w:adjustRightInd w:val="0"/>
        <w:snapToGrid w:val="0"/>
        <w:spacing w:line="360" w:lineRule="auto"/>
        <w:ind w:firstLine="803" w:firstLineChars="200"/>
        <w:jc w:val="center"/>
        <w:rPr>
          <w:rFonts w:hint="eastAsia" w:ascii="宋体" w:hAnsi="宋体" w:eastAsia="宋体"/>
          <w:b/>
          <w:color w:val="000000"/>
          <w:sz w:val="22"/>
        </w:rPr>
      </w:pPr>
      <w:r>
        <w:rPr>
          <w:rFonts w:hint="eastAsia" w:ascii="宋体" w:hAnsi="宋体" w:eastAsia="宋体"/>
          <w:b/>
          <w:color w:val="000000"/>
          <w:sz w:val="40"/>
        </w:rPr>
        <w:t>简明疼痛评估量表（BPI）</w:t>
      </w:r>
      <w:r>
        <w:rPr>
          <w:rFonts w:hint="eastAsia" w:ascii="宋体" w:hAnsi="宋体" w:eastAsia="宋体"/>
          <w:b/>
          <w:color w:val="000000"/>
          <w:sz w:val="36"/>
        </w:rPr>
        <w:t xml:space="preserve"> </w:t>
      </w:r>
    </w:p>
    <w:p>
      <w:pPr>
        <w:adjustRightInd w:val="0"/>
        <w:snapToGrid w:val="0"/>
        <w:spacing w:line="360" w:lineRule="auto"/>
        <w:ind w:firstLine="482" w:firstLineChars="200"/>
        <w:jc w:val="center"/>
        <w:rPr>
          <w:rFonts w:hint="eastAsia" w:ascii="宋体" w:hAnsi="宋体"/>
          <w:b/>
          <w:color w:val="000000"/>
          <w:sz w:val="24"/>
        </w:rPr>
      </w:pPr>
    </w:p>
    <w:p>
      <w:pPr>
        <w:adjustRightInd w:val="0"/>
        <w:snapToGrid w:val="0"/>
        <w:ind w:firstLine="440" w:firstLineChars="200"/>
        <w:jc w:val="left"/>
        <w:rPr>
          <w:rFonts w:hint="eastAsia" w:ascii="黑体" w:hAnsi="宋体" w:eastAsia="黑体"/>
          <w:color w:val="000000"/>
          <w:sz w:val="22"/>
        </w:rPr>
      </w:pPr>
      <w:r>
        <w:rPr>
          <w:rFonts w:hint="eastAsia" w:ascii="黑体" w:hAnsi="宋体" w:eastAsia="黑体"/>
          <w:color w:val="000000"/>
          <w:sz w:val="22"/>
        </w:rPr>
        <w:t>患者姓名：</w:t>
      </w:r>
      <w:r>
        <w:rPr>
          <w:rFonts w:hint="eastAsia" w:ascii="黑体" w:hAnsi="宋体" w:eastAsia="黑体"/>
          <w:color w:val="000000"/>
          <w:sz w:val="22"/>
          <w:u w:val="single"/>
        </w:rPr>
        <w:t xml:space="preserve">     </w:t>
      </w:r>
      <w:r>
        <w:rPr>
          <w:rFonts w:hint="eastAsia" w:ascii="黑体" w:hAnsi="宋体" w:eastAsia="黑体"/>
          <w:color w:val="000000"/>
          <w:sz w:val="22"/>
        </w:rPr>
        <w:t xml:space="preserve">   病案号：</w:t>
      </w:r>
      <w:r>
        <w:rPr>
          <w:rFonts w:hint="eastAsia" w:ascii="黑体" w:hAnsi="宋体" w:eastAsia="黑体"/>
          <w:color w:val="000000"/>
          <w:sz w:val="22"/>
          <w:u w:val="single"/>
        </w:rPr>
        <w:t xml:space="preserve">        </w:t>
      </w:r>
      <w:r>
        <w:rPr>
          <w:rFonts w:hint="eastAsia" w:ascii="黑体" w:hAnsi="宋体" w:eastAsia="黑体"/>
          <w:color w:val="000000"/>
          <w:sz w:val="22"/>
        </w:rPr>
        <w:t xml:space="preserve"> 诊断：</w:t>
      </w:r>
      <w:r>
        <w:rPr>
          <w:rFonts w:hint="eastAsia" w:ascii="黑体" w:hAnsi="宋体" w:eastAsia="黑体"/>
          <w:color w:val="000000"/>
          <w:sz w:val="22"/>
          <w:u w:val="single"/>
        </w:rPr>
        <w:t xml:space="preserve">                        </w:t>
      </w:r>
    </w:p>
    <w:p>
      <w:pPr>
        <w:adjustRightInd w:val="0"/>
        <w:snapToGrid w:val="0"/>
        <w:ind w:firstLine="440" w:firstLineChars="200"/>
        <w:jc w:val="left"/>
        <w:rPr>
          <w:rFonts w:hint="eastAsia" w:ascii="仿宋_GB2312"/>
          <w:color w:val="000000"/>
          <w:sz w:val="24"/>
        </w:rPr>
      </w:pPr>
      <w:r>
        <w:rPr>
          <w:rFonts w:hint="eastAsia" w:ascii="黑体" w:hAnsi="宋体" w:eastAsia="黑体"/>
          <w:color w:val="000000"/>
          <w:sz w:val="22"/>
        </w:rPr>
        <w:t>评估时间：</w:t>
      </w:r>
      <w:r>
        <w:rPr>
          <w:rFonts w:hint="eastAsia" w:ascii="黑体" w:hAnsi="宋体" w:eastAsia="黑体"/>
          <w:color w:val="000000"/>
          <w:sz w:val="22"/>
          <w:u w:val="single"/>
        </w:rPr>
        <w:t xml:space="preserve">　              </w:t>
      </w:r>
      <w:r>
        <w:rPr>
          <w:rFonts w:hint="eastAsia" w:ascii="黑体" w:hAnsi="宋体" w:eastAsia="黑体"/>
          <w:color w:val="000000"/>
          <w:sz w:val="22"/>
        </w:rPr>
        <w:t xml:space="preserve">         评估医师：</w:t>
      </w:r>
      <w:r>
        <w:rPr>
          <w:rFonts w:hint="eastAsia" w:ascii="黑体" w:hAnsi="宋体" w:eastAsia="黑体"/>
          <w:color w:val="000000"/>
          <w:sz w:val="22"/>
          <w:u w:val="single"/>
        </w:rPr>
        <w:t xml:space="preserve">　　　         </w:t>
      </w:r>
      <w:r>
        <w:rPr>
          <w:rFonts w:hint="eastAsia" w:ascii="黑体" w:hAnsi="宋体" w:eastAsia="黑体"/>
          <w:color w:val="000000"/>
          <w:sz w:val="22"/>
        </w:rPr>
        <w:t>　</w:t>
      </w:r>
      <w:r>
        <w:rPr>
          <w:rFonts w:hint="eastAsia" w:ascii="黑体" w:hAnsi="宋体" w:eastAsia="黑体"/>
          <w:color w:val="000000"/>
          <w:sz w:val="24"/>
        </w:rPr>
        <w:t>　</w:t>
      </w:r>
      <w:r>
        <w:rPr>
          <w:rFonts w:hint="eastAsia" w:ascii="仿宋_GB2312" w:hAnsi="宋体"/>
          <w:color w:val="000000"/>
          <w:sz w:val="24"/>
        </w:rPr>
        <w:t>　　　　　　　　　　　　　　　</w:t>
      </w:r>
    </w:p>
    <w:p>
      <w:pPr>
        <w:adjustRightInd w:val="0"/>
        <w:snapToGrid w:val="0"/>
        <w:spacing w:line="360" w:lineRule="auto"/>
        <w:ind w:firstLine="480" w:firstLineChars="200"/>
        <w:rPr>
          <w:rFonts w:hint="eastAsia" w:ascii="仿宋_GB2312" w:hAnsi="宋体"/>
          <w:color w:val="000000"/>
          <w:sz w:val="24"/>
        </w:rPr>
      </w:pPr>
      <w:r>
        <w:rPr>
          <w:rFonts w:hint="eastAsia" w:ascii="仿宋_GB2312" w:hAnsi="宋体"/>
          <w:color w:val="000000"/>
          <w:sz w:val="24"/>
        </w:rPr>
        <w:t xml:space="preserve"> </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1.大多数人一生中都有过疼痛经历（如轻微头痛、扭伤后痛、牙痛）。除这些常见的疼痛外，现在您是否还感到有别的类型的疼痛？　　⑴是　　⑵否</w:t>
      </w:r>
    </w:p>
    <w:p>
      <w:pPr>
        <w:adjustRightInd w:val="0"/>
        <w:snapToGrid w:val="0"/>
        <w:spacing w:line="360" w:lineRule="auto"/>
        <w:ind w:firstLine="440" w:firstLineChars="200"/>
        <w:rPr>
          <w:rFonts w:hint="eastAsia" w:ascii="仿宋_GB2312" w:hAnsi="宋体"/>
          <w:color w:val="000000"/>
          <w:sz w:val="22"/>
        </w:rPr>
      </w:pPr>
      <w:r>
        <w:rPr>
          <w:rFonts w:hint="eastAsia" w:ascii="仿宋_GB2312" w:hAnsi="宋体"/>
          <w:color w:val="000000"/>
          <w:sz w:val="22"/>
        </w:rPr>
        <w:t>2.请您在下图中标出您的疼痛部位，并在疼痛最剧烈的部位以</w:t>
      </w:r>
      <w:r>
        <w:rPr>
          <w:rFonts w:hint="eastAsia" w:ascii="仿宋_GB2312"/>
          <w:color w:val="000000"/>
          <w:sz w:val="22"/>
        </w:rPr>
        <w:t>“</w:t>
      </w:r>
      <w:r>
        <w:rPr>
          <w:rFonts w:hint="eastAsia" w:ascii="仿宋_GB2312" w:hAnsi="宋体"/>
          <w:color w:val="000000"/>
          <w:sz w:val="22"/>
        </w:rPr>
        <w:t>Ｘ</w:t>
      </w:r>
      <w:r>
        <w:rPr>
          <w:rFonts w:hint="eastAsia" w:ascii="仿宋_GB2312"/>
          <w:color w:val="000000"/>
          <w:sz w:val="22"/>
        </w:rPr>
        <w:t>”</w:t>
      </w:r>
      <w:r>
        <w:rPr>
          <w:rFonts w:hint="eastAsia" w:ascii="仿宋_GB2312" w:hAnsi="宋体"/>
          <w:color w:val="000000"/>
          <w:sz w:val="22"/>
        </w:rPr>
        <w:t>标出。</w:t>
      </w:r>
    </w:p>
    <w:tbl>
      <w:tblPr>
        <w:tblStyle w:val="5"/>
        <w:tblW w:w="8520" w:type="dxa"/>
        <w:tblInd w:w="0" w:type="dxa"/>
        <w:tblLayout w:type="fixed"/>
        <w:tblCellMar>
          <w:top w:w="0" w:type="dxa"/>
          <w:left w:w="108" w:type="dxa"/>
          <w:bottom w:w="0" w:type="dxa"/>
          <w:right w:w="108" w:type="dxa"/>
        </w:tblCellMar>
      </w:tblPr>
      <w:tblGrid>
        <w:gridCol w:w="1842"/>
        <w:gridCol w:w="4835"/>
        <w:gridCol w:w="1843"/>
      </w:tblGrid>
      <w:tr>
        <w:tblPrEx>
          <w:tblLayout w:type="fixed"/>
          <w:tblCellMar>
            <w:top w:w="0" w:type="dxa"/>
            <w:left w:w="108" w:type="dxa"/>
            <w:bottom w:w="0" w:type="dxa"/>
            <w:right w:w="108" w:type="dxa"/>
          </w:tblCellMar>
        </w:tblPrEx>
        <w:tc>
          <w:tcPr>
            <w:tcW w:w="1842" w:type="dxa"/>
          </w:tcPr>
          <w:p>
            <w:pPr>
              <w:adjustRightInd w:val="0"/>
              <w:snapToGrid w:val="0"/>
              <w:spacing w:line="360" w:lineRule="auto"/>
              <w:rPr>
                <w:rFonts w:ascii="仿宋_GB2312" w:hAnsi="宋体"/>
                <w:color w:val="000000"/>
                <w:sz w:val="22"/>
              </w:rPr>
            </w:pPr>
          </w:p>
        </w:tc>
        <w:tc>
          <w:tcPr>
            <w:tcW w:w="4835" w:type="dxa"/>
          </w:tcPr>
          <w:p>
            <w:pPr>
              <w:adjustRightInd w:val="0"/>
              <w:snapToGrid w:val="0"/>
              <w:spacing w:line="360" w:lineRule="auto"/>
              <w:rPr>
                <w:rFonts w:ascii="仿宋_GB2312" w:hAnsi="宋体"/>
                <w:color w:val="000000"/>
                <w:sz w:val="22"/>
              </w:rPr>
            </w:pPr>
            <w:r>
              <w:rPr>
                <w:rFonts w:ascii="仿宋_GB2312"/>
                <w:color w:val="000000"/>
                <w:sz w:val="22"/>
              </w:rPr>
              <w:drawing>
                <wp:inline distT="0" distB="0" distL="0" distR="0">
                  <wp:extent cx="2933700" cy="2876550"/>
                  <wp:effectExtent l="0" t="0" r="0" b="0"/>
                  <wp:docPr id="1" name="图片 1" descr="说明: 说明: 疼痛部位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疼痛部位图示"/>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33700" cy="2876550"/>
                          </a:xfrm>
                          <a:prstGeom prst="rect">
                            <a:avLst/>
                          </a:prstGeom>
                          <a:noFill/>
                          <a:ln>
                            <a:noFill/>
                          </a:ln>
                        </pic:spPr>
                      </pic:pic>
                    </a:graphicData>
                  </a:graphic>
                </wp:inline>
              </w:drawing>
            </w:r>
          </w:p>
        </w:tc>
        <w:tc>
          <w:tcPr>
            <w:tcW w:w="1843" w:type="dxa"/>
          </w:tcPr>
          <w:p>
            <w:pPr>
              <w:adjustRightInd w:val="0"/>
              <w:snapToGrid w:val="0"/>
              <w:spacing w:line="360" w:lineRule="auto"/>
              <w:rPr>
                <w:rFonts w:ascii="仿宋_GB2312" w:hAnsi="宋体"/>
                <w:color w:val="000000"/>
                <w:sz w:val="22"/>
              </w:rPr>
            </w:pPr>
          </w:p>
        </w:tc>
      </w:tr>
    </w:tbl>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3.请选择下面的一个数字，以表示过去24小时内您疼痛最剧烈的程度。</w:t>
      </w:r>
    </w:p>
    <w:p>
      <w:pPr>
        <w:adjustRightInd w:val="0"/>
        <w:snapToGrid w:val="0"/>
        <w:spacing w:line="360" w:lineRule="auto"/>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０    １    ２   ３   ４   ５   ６   ７   ８   ９   10</w:t>
      </w:r>
    </w:p>
    <w:p>
      <w:pPr>
        <w:adjustRightInd w:val="0"/>
        <w:snapToGrid w:val="0"/>
        <w:spacing w:line="360" w:lineRule="auto"/>
        <w:rPr>
          <w:rFonts w:hint="eastAsia" w:ascii="仿宋_GB2312"/>
          <w:color w:val="000000"/>
          <w:sz w:val="22"/>
        </w:rPr>
      </w:pPr>
      <w:r>
        <w:rPr>
          <w:rFonts w:hint="eastAsia" w:ascii="仿宋_GB2312" w:hAnsi="宋体"/>
          <w:color w:val="000000"/>
          <w:sz w:val="22"/>
        </w:rPr>
        <w:t xml:space="preserve">    （无痛）                                 （能够想象的最剧烈疼痛）</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4.请选择下面的一个数字，以表示过去24小时内您疼痛最轻微的程度。</w:t>
      </w:r>
    </w:p>
    <w:p>
      <w:pPr>
        <w:adjustRightInd w:val="0"/>
        <w:snapToGrid w:val="0"/>
        <w:spacing w:line="360" w:lineRule="auto"/>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０    １    ２   ３   ４   ５   ６   ７   ８   ９   10</w:t>
      </w:r>
    </w:p>
    <w:p>
      <w:pPr>
        <w:adjustRightInd w:val="0"/>
        <w:snapToGrid w:val="0"/>
        <w:spacing w:line="360" w:lineRule="auto"/>
        <w:rPr>
          <w:rFonts w:hint="eastAsia" w:ascii="仿宋_GB2312"/>
          <w:color w:val="000000"/>
          <w:sz w:val="22"/>
        </w:rPr>
      </w:pPr>
      <w:r>
        <w:rPr>
          <w:rFonts w:hint="eastAsia" w:ascii="仿宋_GB2312" w:hAnsi="宋体"/>
          <w:color w:val="000000"/>
          <w:sz w:val="22"/>
        </w:rPr>
        <w:t xml:space="preserve">    （无痛）                                 （能够想象的最剧烈疼痛）</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5.请选择下面的一个数字，以表示过去24小时内您疼痛的平均程度。</w:t>
      </w:r>
    </w:p>
    <w:p>
      <w:pPr>
        <w:adjustRightInd w:val="0"/>
        <w:snapToGrid w:val="0"/>
        <w:spacing w:line="360" w:lineRule="auto"/>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０    １    ２   ３   ４   ５   ６   ７   ８   ９   10</w:t>
      </w:r>
    </w:p>
    <w:p>
      <w:pPr>
        <w:adjustRightInd w:val="0"/>
        <w:snapToGrid w:val="0"/>
        <w:spacing w:line="360" w:lineRule="auto"/>
        <w:rPr>
          <w:rFonts w:hint="eastAsia" w:ascii="仿宋_GB2312"/>
          <w:color w:val="000000"/>
          <w:sz w:val="22"/>
        </w:rPr>
      </w:pPr>
      <w:r>
        <w:rPr>
          <w:rFonts w:hint="eastAsia" w:ascii="仿宋_GB2312" w:hAnsi="宋体"/>
          <w:color w:val="000000"/>
          <w:sz w:val="22"/>
        </w:rPr>
        <w:t xml:space="preserve">    （无痛）                                 （能够想象的最剧烈疼痛）</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6.请选择下面的一个数字，以表示您目前的疼痛程度。</w:t>
      </w:r>
    </w:p>
    <w:p>
      <w:pPr>
        <w:adjustRightInd w:val="0"/>
        <w:snapToGrid w:val="0"/>
        <w:spacing w:line="360" w:lineRule="auto"/>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０    １    ２   ３   ４   ５   ６   ７   ８   ９   10</w:t>
      </w:r>
    </w:p>
    <w:p>
      <w:pPr>
        <w:adjustRightInd w:val="0"/>
        <w:snapToGrid w:val="0"/>
        <w:spacing w:line="360" w:lineRule="auto"/>
        <w:rPr>
          <w:rFonts w:hint="eastAsia" w:ascii="仿宋_GB2312"/>
          <w:color w:val="000000"/>
          <w:sz w:val="22"/>
        </w:rPr>
      </w:pPr>
      <w:r>
        <w:rPr>
          <w:rFonts w:hint="eastAsia" w:ascii="仿宋_GB2312" w:hAnsi="宋体"/>
          <w:color w:val="000000"/>
          <w:sz w:val="22"/>
        </w:rPr>
        <w:t xml:space="preserve">    （无痛）                                 （能够想象的最剧烈疼痛）</w:t>
      </w:r>
    </w:p>
    <w:p>
      <w:pPr>
        <w:adjustRightInd w:val="0"/>
        <w:snapToGrid w:val="0"/>
        <w:spacing w:line="360" w:lineRule="auto"/>
        <w:ind w:firstLine="440" w:firstLineChars="200"/>
        <w:rPr>
          <w:rFonts w:hint="eastAsia" w:ascii="仿宋_GB2312" w:hAnsi="宋体"/>
          <w:color w:val="000000"/>
          <w:sz w:val="22"/>
        </w:rPr>
      </w:pPr>
      <w:r>
        <w:rPr>
          <w:rFonts w:hint="eastAsia" w:ascii="仿宋_GB2312" w:hAnsi="宋体"/>
          <w:color w:val="000000"/>
          <w:sz w:val="22"/>
        </w:rPr>
        <w:t>7.您希望接受何种药物或治疗控制您的疼痛？</w:t>
      </w:r>
    </w:p>
    <w:p>
      <w:pPr>
        <w:adjustRightInd w:val="0"/>
        <w:snapToGrid w:val="0"/>
        <w:spacing w:line="360" w:lineRule="auto"/>
        <w:ind w:firstLine="440" w:firstLineChars="200"/>
        <w:rPr>
          <w:rFonts w:hint="eastAsia" w:ascii="仿宋_GB2312"/>
          <w:color w:val="000000"/>
          <w:sz w:val="22"/>
          <w:u w:val="single"/>
        </w:rPr>
      </w:pPr>
      <w:r>
        <w:rPr>
          <w:rFonts w:hint="eastAsia" w:ascii="仿宋_GB2312"/>
          <w:color w:val="000000"/>
          <w:sz w:val="22"/>
          <w:u w:val="single"/>
        </w:rPr>
        <w:t xml:space="preserve">                                                         </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8.在过去的</w:t>
      </w:r>
      <w:r>
        <w:rPr>
          <w:rFonts w:hint="eastAsia" w:ascii="仿宋_GB2312"/>
          <w:color w:val="000000"/>
          <w:sz w:val="22"/>
        </w:rPr>
        <w:t>24</w:t>
      </w:r>
      <w:r>
        <w:rPr>
          <w:rFonts w:hint="eastAsia" w:ascii="仿宋_GB2312" w:hAnsi="宋体"/>
          <w:color w:val="000000"/>
          <w:sz w:val="22"/>
        </w:rPr>
        <w:t>小时内，由于药物或治疗的作用，您的疼痛缓解了多少？请选择下面的一个百分数，以表示疼痛缓解的程度。</w:t>
      </w:r>
    </w:p>
    <w:p>
      <w:pPr>
        <w:adjustRightInd w:val="0"/>
        <w:snapToGrid w:val="0"/>
        <w:spacing w:line="360" w:lineRule="auto"/>
        <w:rPr>
          <w:rFonts w:hint="eastAsia" w:ascii="仿宋_GB2312"/>
          <w:color w:val="000000"/>
          <w:sz w:val="22"/>
        </w:rPr>
      </w:pPr>
      <w:r>
        <w:rPr>
          <w:rFonts w:hint="eastAsia" w:ascii="仿宋_GB2312" w:hAnsi="宋体"/>
          <w:color w:val="000000"/>
          <w:spacing w:val="-20"/>
          <w:sz w:val="22"/>
        </w:rPr>
        <w:t>（无缓解）</w:t>
      </w:r>
      <w:r>
        <w:rPr>
          <w:rFonts w:hint="eastAsia" w:ascii="仿宋_GB2312"/>
          <w:color w:val="000000"/>
          <w:spacing w:val="-20"/>
          <w:sz w:val="22"/>
        </w:rPr>
        <w:t>0  10</w:t>
      </w:r>
      <w:r>
        <w:rPr>
          <w:rFonts w:hint="eastAsia" w:ascii="仿宋_GB2312" w:hAnsi="宋体"/>
          <w:color w:val="000000"/>
          <w:spacing w:val="-20"/>
          <w:sz w:val="22"/>
        </w:rPr>
        <w:t xml:space="preserve">％  </w:t>
      </w:r>
      <w:r>
        <w:rPr>
          <w:rFonts w:hint="eastAsia" w:ascii="仿宋_GB2312"/>
          <w:color w:val="000000"/>
          <w:spacing w:val="-20"/>
          <w:sz w:val="22"/>
        </w:rPr>
        <w:t>20</w:t>
      </w:r>
      <w:r>
        <w:rPr>
          <w:rFonts w:hint="eastAsia" w:ascii="仿宋_GB2312" w:hAnsi="宋体"/>
          <w:color w:val="000000"/>
          <w:spacing w:val="-20"/>
          <w:sz w:val="22"/>
        </w:rPr>
        <w:t xml:space="preserve">％  </w:t>
      </w:r>
      <w:r>
        <w:rPr>
          <w:rFonts w:hint="eastAsia" w:ascii="仿宋_GB2312"/>
          <w:color w:val="000000"/>
          <w:spacing w:val="-20"/>
          <w:sz w:val="22"/>
        </w:rPr>
        <w:t>30</w:t>
      </w:r>
      <w:r>
        <w:rPr>
          <w:rFonts w:hint="eastAsia" w:ascii="仿宋_GB2312" w:hAnsi="宋体"/>
          <w:color w:val="000000"/>
          <w:spacing w:val="-20"/>
          <w:sz w:val="22"/>
        </w:rPr>
        <w:t xml:space="preserve">％  </w:t>
      </w:r>
      <w:r>
        <w:rPr>
          <w:rFonts w:hint="eastAsia" w:ascii="仿宋_GB2312"/>
          <w:color w:val="000000"/>
          <w:spacing w:val="-20"/>
          <w:sz w:val="22"/>
        </w:rPr>
        <w:t>40</w:t>
      </w:r>
      <w:r>
        <w:rPr>
          <w:rFonts w:hint="eastAsia" w:ascii="仿宋_GB2312" w:hAnsi="宋体"/>
          <w:color w:val="000000"/>
          <w:spacing w:val="-20"/>
          <w:sz w:val="22"/>
        </w:rPr>
        <w:t xml:space="preserve">％  </w:t>
      </w:r>
      <w:r>
        <w:rPr>
          <w:rFonts w:hint="eastAsia" w:ascii="仿宋_GB2312"/>
          <w:color w:val="000000"/>
          <w:spacing w:val="-20"/>
          <w:sz w:val="22"/>
        </w:rPr>
        <w:t>50</w:t>
      </w:r>
      <w:r>
        <w:rPr>
          <w:rFonts w:hint="eastAsia" w:ascii="仿宋_GB2312" w:hAnsi="宋体"/>
          <w:color w:val="000000"/>
          <w:spacing w:val="-20"/>
          <w:sz w:val="22"/>
        </w:rPr>
        <w:t xml:space="preserve">％  </w:t>
      </w:r>
      <w:r>
        <w:rPr>
          <w:rFonts w:hint="eastAsia" w:ascii="仿宋_GB2312"/>
          <w:color w:val="000000"/>
          <w:spacing w:val="-20"/>
          <w:sz w:val="22"/>
        </w:rPr>
        <w:t>60</w:t>
      </w:r>
      <w:r>
        <w:rPr>
          <w:rFonts w:hint="eastAsia" w:ascii="仿宋_GB2312" w:hAnsi="宋体"/>
          <w:color w:val="000000"/>
          <w:spacing w:val="-20"/>
          <w:sz w:val="22"/>
        </w:rPr>
        <w:t xml:space="preserve">％  </w:t>
      </w:r>
      <w:r>
        <w:rPr>
          <w:rFonts w:hint="eastAsia" w:ascii="仿宋_GB2312"/>
          <w:color w:val="000000"/>
          <w:spacing w:val="-20"/>
          <w:sz w:val="22"/>
        </w:rPr>
        <w:t>70</w:t>
      </w:r>
      <w:r>
        <w:rPr>
          <w:rFonts w:hint="eastAsia" w:ascii="仿宋_GB2312" w:hAnsi="宋体"/>
          <w:color w:val="000000"/>
          <w:spacing w:val="-20"/>
          <w:sz w:val="22"/>
        </w:rPr>
        <w:t xml:space="preserve">％  </w:t>
      </w:r>
      <w:r>
        <w:rPr>
          <w:rFonts w:hint="eastAsia" w:ascii="仿宋_GB2312"/>
          <w:color w:val="000000"/>
          <w:spacing w:val="-20"/>
          <w:sz w:val="22"/>
        </w:rPr>
        <w:t>80</w:t>
      </w:r>
      <w:r>
        <w:rPr>
          <w:rFonts w:hint="eastAsia" w:ascii="仿宋_GB2312" w:hAnsi="宋体"/>
          <w:color w:val="000000"/>
          <w:spacing w:val="-20"/>
          <w:sz w:val="22"/>
        </w:rPr>
        <w:t xml:space="preserve">％  </w:t>
      </w:r>
      <w:r>
        <w:rPr>
          <w:rFonts w:hint="eastAsia" w:ascii="仿宋_GB2312"/>
          <w:color w:val="000000"/>
          <w:spacing w:val="-20"/>
          <w:sz w:val="22"/>
        </w:rPr>
        <w:t>90</w:t>
      </w:r>
      <w:r>
        <w:rPr>
          <w:rFonts w:hint="eastAsia" w:ascii="仿宋_GB2312" w:hAnsi="宋体"/>
          <w:color w:val="000000"/>
          <w:spacing w:val="-20"/>
          <w:sz w:val="22"/>
        </w:rPr>
        <w:t xml:space="preserve">％  </w:t>
      </w:r>
      <w:r>
        <w:rPr>
          <w:rFonts w:hint="eastAsia" w:ascii="仿宋_GB2312"/>
          <w:color w:val="000000"/>
          <w:spacing w:val="-20"/>
          <w:sz w:val="22"/>
        </w:rPr>
        <w:t>100</w:t>
      </w:r>
      <w:r>
        <w:rPr>
          <w:rFonts w:hint="eastAsia" w:ascii="仿宋_GB2312" w:hAnsi="宋体"/>
          <w:color w:val="000000"/>
          <w:spacing w:val="-20"/>
          <w:sz w:val="22"/>
        </w:rPr>
        <w:t xml:space="preserve">％（完全缓解）　　   </w:t>
      </w:r>
    </w:p>
    <w:p>
      <w:pPr>
        <w:adjustRightInd w:val="0"/>
        <w:snapToGrid w:val="0"/>
        <w:spacing w:line="360" w:lineRule="auto"/>
        <w:ind w:firstLine="440" w:firstLineChars="200"/>
        <w:jc w:val="left"/>
        <w:rPr>
          <w:rFonts w:hint="eastAsia" w:ascii="仿宋_GB2312"/>
          <w:color w:val="000000"/>
          <w:sz w:val="22"/>
        </w:rPr>
      </w:pPr>
      <w:r>
        <w:rPr>
          <w:rFonts w:hint="eastAsia" w:ascii="仿宋_GB2312" w:hAnsi="宋体"/>
          <w:color w:val="000000"/>
          <w:sz w:val="22"/>
        </w:rPr>
        <w:t>9.请选择下面的一个数字，以表示过去24小时内疼痛对您的影响</w:t>
      </w:r>
    </w:p>
    <w:p>
      <w:pPr>
        <w:adjustRightInd w:val="0"/>
        <w:snapToGrid w:val="0"/>
        <w:spacing w:line="360" w:lineRule="auto"/>
        <w:ind w:firstLine="440" w:firstLineChars="200"/>
        <w:rPr>
          <w:rFonts w:hint="eastAsia" w:ascii="仿宋_GB2312"/>
          <w:color w:val="000000"/>
          <w:sz w:val="22"/>
        </w:rPr>
      </w:pPr>
      <w:r>
        <w:rPr>
          <w:rFonts w:hint="eastAsia" w:ascii="仿宋_GB2312"/>
          <w:color w:val="000000"/>
          <w:sz w:val="22"/>
        </w:rPr>
        <w:t>（1）对</w:t>
      </w:r>
      <w:r>
        <w:rPr>
          <w:rFonts w:hint="eastAsia" w:ascii="仿宋_GB2312" w:hAnsi="宋体"/>
          <w:color w:val="000000"/>
          <w:sz w:val="22"/>
        </w:rPr>
        <w:t>日常生活的影响</w:t>
      </w:r>
    </w:p>
    <w:p>
      <w:pPr>
        <w:adjustRightInd w:val="0"/>
        <w:snapToGrid w:val="0"/>
        <w:spacing w:line="360" w:lineRule="auto"/>
        <w:ind w:firstLine="440" w:firstLineChars="200"/>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 xml:space="preserve"> ０    １    ２   ３   ４   ５   ６   ７   ８   ９   10</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（无影响）                                          （完全影响）</w:t>
      </w:r>
    </w:p>
    <w:p>
      <w:pPr>
        <w:adjustRightInd w:val="0"/>
        <w:snapToGrid w:val="0"/>
        <w:spacing w:line="360" w:lineRule="auto"/>
        <w:ind w:firstLine="440" w:firstLineChars="200"/>
        <w:rPr>
          <w:rFonts w:hint="eastAsia" w:ascii="仿宋_GB2312"/>
          <w:color w:val="000000"/>
          <w:sz w:val="22"/>
        </w:rPr>
      </w:pPr>
      <w:r>
        <w:rPr>
          <w:rFonts w:hint="eastAsia" w:ascii="仿宋_GB2312"/>
          <w:color w:val="000000"/>
          <w:sz w:val="22"/>
        </w:rPr>
        <w:t>（2）对</w:t>
      </w:r>
      <w:r>
        <w:rPr>
          <w:rFonts w:hint="eastAsia" w:ascii="仿宋_GB2312" w:hAnsi="宋体"/>
          <w:color w:val="000000"/>
          <w:sz w:val="22"/>
        </w:rPr>
        <w:t>情绪的影响</w:t>
      </w:r>
    </w:p>
    <w:p>
      <w:pPr>
        <w:adjustRightInd w:val="0"/>
        <w:snapToGrid w:val="0"/>
        <w:spacing w:line="360" w:lineRule="auto"/>
        <w:ind w:firstLine="440" w:firstLineChars="200"/>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０    １    ２   ３   ４   ５   ６   ７   ８   ９   10</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（无影响）                                          （完全影响）</w:t>
      </w:r>
    </w:p>
    <w:p>
      <w:pPr>
        <w:adjustRightInd w:val="0"/>
        <w:snapToGrid w:val="0"/>
        <w:spacing w:line="360" w:lineRule="auto"/>
        <w:ind w:firstLine="440" w:firstLineChars="200"/>
        <w:rPr>
          <w:rFonts w:hint="eastAsia" w:ascii="仿宋_GB2312"/>
          <w:color w:val="000000"/>
          <w:sz w:val="22"/>
        </w:rPr>
      </w:pPr>
      <w:r>
        <w:rPr>
          <w:rFonts w:hint="eastAsia" w:ascii="仿宋_GB2312"/>
          <w:color w:val="000000"/>
          <w:sz w:val="22"/>
        </w:rPr>
        <w:t>（3）对</w:t>
      </w:r>
      <w:r>
        <w:rPr>
          <w:rFonts w:hint="eastAsia" w:ascii="仿宋_GB2312" w:hAnsi="宋体"/>
          <w:color w:val="000000"/>
          <w:sz w:val="22"/>
        </w:rPr>
        <w:t>行走能力的影响</w:t>
      </w:r>
    </w:p>
    <w:p>
      <w:pPr>
        <w:adjustRightInd w:val="0"/>
        <w:snapToGrid w:val="0"/>
        <w:spacing w:line="360" w:lineRule="auto"/>
        <w:ind w:firstLine="440" w:firstLineChars="200"/>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０    １    ２   ３   ４   ５   ６   ７   ８   ９   10</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（无影响）                                          （完全影响）</w:t>
      </w:r>
    </w:p>
    <w:p>
      <w:pPr>
        <w:adjustRightInd w:val="0"/>
        <w:snapToGrid w:val="0"/>
        <w:spacing w:line="360" w:lineRule="auto"/>
        <w:ind w:firstLine="440" w:firstLineChars="200"/>
        <w:rPr>
          <w:rFonts w:hint="eastAsia" w:ascii="仿宋_GB2312"/>
          <w:color w:val="000000"/>
          <w:sz w:val="22"/>
        </w:rPr>
      </w:pPr>
      <w:r>
        <w:rPr>
          <w:rFonts w:hint="eastAsia" w:ascii="仿宋_GB2312"/>
          <w:color w:val="000000"/>
          <w:sz w:val="22"/>
        </w:rPr>
        <w:t>（4）对</w:t>
      </w:r>
      <w:r>
        <w:rPr>
          <w:rFonts w:hint="eastAsia" w:ascii="仿宋_GB2312" w:hAnsi="宋体"/>
          <w:color w:val="000000"/>
          <w:sz w:val="22"/>
        </w:rPr>
        <w:t>日常工作的影响（包括外出工作和家务劳动）</w:t>
      </w:r>
    </w:p>
    <w:p>
      <w:pPr>
        <w:adjustRightInd w:val="0"/>
        <w:snapToGrid w:val="0"/>
        <w:spacing w:line="360" w:lineRule="auto"/>
        <w:ind w:firstLine="440" w:firstLineChars="200"/>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０    １    ２   ３   ４   ５   ６   ７   ８   ９   10</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（无影响）                                          （完全影响）</w:t>
      </w:r>
    </w:p>
    <w:p>
      <w:pPr>
        <w:adjustRightInd w:val="0"/>
        <w:snapToGrid w:val="0"/>
        <w:spacing w:line="360" w:lineRule="auto"/>
        <w:ind w:firstLine="440" w:firstLineChars="200"/>
        <w:rPr>
          <w:rFonts w:hint="eastAsia" w:ascii="仿宋_GB2312"/>
          <w:color w:val="000000"/>
          <w:sz w:val="22"/>
        </w:rPr>
      </w:pPr>
      <w:r>
        <w:rPr>
          <w:rFonts w:hint="eastAsia" w:ascii="仿宋_GB2312"/>
          <w:color w:val="000000"/>
          <w:sz w:val="22"/>
        </w:rPr>
        <w:t>（5）对</w:t>
      </w:r>
      <w:r>
        <w:rPr>
          <w:rFonts w:hint="eastAsia" w:ascii="仿宋_GB2312" w:hAnsi="宋体"/>
          <w:color w:val="000000"/>
          <w:sz w:val="22"/>
        </w:rPr>
        <w:t>与他人关系的影响</w:t>
      </w:r>
    </w:p>
    <w:p>
      <w:pPr>
        <w:adjustRightInd w:val="0"/>
        <w:snapToGrid w:val="0"/>
        <w:spacing w:line="360" w:lineRule="auto"/>
        <w:ind w:firstLine="440" w:firstLineChars="200"/>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０    １    ２   ３   ４   ５   ６   ７   ８   ９   10</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（无影响）                                          （完全影响）</w:t>
      </w:r>
    </w:p>
    <w:p>
      <w:pPr>
        <w:adjustRightInd w:val="0"/>
        <w:snapToGrid w:val="0"/>
        <w:spacing w:line="360" w:lineRule="auto"/>
        <w:ind w:firstLine="440" w:firstLineChars="200"/>
        <w:rPr>
          <w:rFonts w:hint="eastAsia" w:ascii="仿宋_GB2312"/>
          <w:color w:val="000000"/>
          <w:sz w:val="22"/>
        </w:rPr>
      </w:pPr>
      <w:r>
        <w:rPr>
          <w:rFonts w:hint="eastAsia" w:ascii="仿宋_GB2312"/>
          <w:color w:val="000000"/>
          <w:sz w:val="22"/>
        </w:rPr>
        <w:t xml:space="preserve"> （6）对</w:t>
      </w:r>
      <w:r>
        <w:rPr>
          <w:rFonts w:hint="eastAsia" w:ascii="仿宋_GB2312" w:hAnsi="宋体"/>
          <w:color w:val="000000"/>
          <w:sz w:val="22"/>
        </w:rPr>
        <w:t>睡眠的影响</w:t>
      </w:r>
    </w:p>
    <w:p>
      <w:pPr>
        <w:adjustRightInd w:val="0"/>
        <w:snapToGrid w:val="0"/>
        <w:spacing w:line="360" w:lineRule="auto"/>
        <w:ind w:firstLine="440" w:firstLineChars="200"/>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０    １    ２   ３   ４   ５   ６   ７   ８   ９   10</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（无影响）                                          （完全影响）</w:t>
      </w:r>
    </w:p>
    <w:p>
      <w:pPr>
        <w:adjustRightInd w:val="0"/>
        <w:snapToGrid w:val="0"/>
        <w:spacing w:line="360" w:lineRule="auto"/>
        <w:ind w:firstLine="440" w:firstLineChars="200"/>
        <w:rPr>
          <w:rFonts w:hint="eastAsia" w:ascii="仿宋_GB2312"/>
          <w:color w:val="000000"/>
          <w:sz w:val="22"/>
        </w:rPr>
      </w:pPr>
      <w:r>
        <w:rPr>
          <w:rFonts w:hint="eastAsia" w:ascii="仿宋_GB2312"/>
          <w:color w:val="000000"/>
          <w:sz w:val="22"/>
        </w:rPr>
        <w:t xml:space="preserve"> （7）</w:t>
      </w:r>
      <w:r>
        <w:rPr>
          <w:rFonts w:hint="eastAsia" w:ascii="仿宋_GB2312" w:hAnsi="宋体"/>
          <w:color w:val="000000"/>
          <w:sz w:val="22"/>
        </w:rPr>
        <w:t>对生活兴趣的影响</w:t>
      </w:r>
    </w:p>
    <w:p>
      <w:pPr>
        <w:adjustRightInd w:val="0"/>
        <w:snapToGrid w:val="0"/>
        <w:spacing w:line="360" w:lineRule="auto"/>
        <w:ind w:firstLine="440" w:firstLineChars="200"/>
        <w:rPr>
          <w:rFonts w:hint="eastAsia" w:ascii="仿宋_GB2312" w:hAnsi="宋体"/>
          <w:color w:val="000000"/>
          <w:sz w:val="22"/>
          <w:u w:val="single"/>
        </w:rPr>
      </w:pPr>
      <w:r>
        <w:rPr>
          <w:rFonts w:hint="eastAsia" w:ascii="仿宋_GB2312" w:hAnsi="宋体"/>
          <w:color w:val="000000"/>
          <w:sz w:val="22"/>
        </w:rPr>
        <w:t xml:space="preserve">     </w:t>
      </w:r>
      <w:r>
        <w:rPr>
          <w:rFonts w:hint="eastAsia" w:ascii="仿宋_GB2312" w:hAnsi="宋体"/>
          <w:color w:val="000000"/>
          <w:sz w:val="22"/>
          <w:u w:val="single"/>
        </w:rPr>
        <w:t>０    １    ２   ３   ４   ５   ６   ７   ８   ９   10</w:t>
      </w:r>
    </w:p>
    <w:p>
      <w:pPr>
        <w:adjustRightInd w:val="0"/>
        <w:snapToGrid w:val="0"/>
        <w:spacing w:line="360" w:lineRule="auto"/>
        <w:ind w:firstLine="440" w:firstLineChars="200"/>
        <w:rPr>
          <w:rFonts w:hint="eastAsia" w:ascii="仿宋_GB2312"/>
          <w:color w:val="000000"/>
          <w:sz w:val="22"/>
        </w:rPr>
      </w:pPr>
      <w:r>
        <w:rPr>
          <w:rFonts w:hint="eastAsia" w:ascii="仿宋_GB2312" w:hAnsi="宋体"/>
          <w:color w:val="000000"/>
          <w:sz w:val="22"/>
        </w:rPr>
        <w:t>（无影响）                                          （完全影响）</w:t>
      </w:r>
    </w:p>
    <w:p>
      <w:pPr>
        <w:widowControl/>
        <w:jc w:val="left"/>
        <w:rPr>
          <w:rFonts w:hint="eastAsia" w:ascii="仿宋_GB2312" w:hAnsi="宋体"/>
          <w:color w:val="000000"/>
          <w:sz w:val="22"/>
        </w:rPr>
      </w:pPr>
      <w:r>
        <w:rPr>
          <w:rFonts w:hint="eastAsia" w:ascii="仿宋_GB2312" w:hAnsi="宋体"/>
          <w:color w:val="000000"/>
          <w:sz w:val="22"/>
        </w:rPr>
        <w:br w:type="page"/>
      </w:r>
      <w:r>
        <w:rPr>
          <w:rFonts w:hint="eastAsia" w:ascii="黑体" w:hAnsi="黑体" w:eastAsia="黑体"/>
          <w:b/>
          <w:sz w:val="36"/>
          <w:szCs w:val="21"/>
        </w:rPr>
        <w:t>附件3</w:t>
      </w:r>
    </w:p>
    <w:bookmarkEnd w:id="9"/>
    <w:p>
      <w:pPr>
        <w:pStyle w:val="7"/>
        <w:spacing w:before="156" w:after="156"/>
        <w:ind w:left="-147" w:leftChars="-134" w:hanging="282" w:hangingChars="134"/>
        <w:rPr>
          <w:rFonts w:hint="eastAsia" w:ascii="宋体" w:hAnsi="宋体"/>
          <w:b/>
          <w:sz w:val="40"/>
          <w:szCs w:val="21"/>
        </w:rPr>
      </w:pPr>
      <w:r>
        <w:rPr>
          <w:rFonts w:hint="eastAsia" w:ascii="宋体" w:hAnsi="宋体"/>
          <w:b/>
          <w:szCs w:val="21"/>
        </w:rPr>
        <w:t xml:space="preserve">      </w:t>
      </w:r>
      <w:r>
        <w:rPr>
          <w:rFonts w:hint="eastAsia" w:ascii="宋体" w:hAnsi="宋体"/>
          <w:b/>
          <w:sz w:val="22"/>
          <w:szCs w:val="21"/>
        </w:rPr>
        <w:t xml:space="preserve">              </w:t>
      </w:r>
      <w:r>
        <w:rPr>
          <w:rFonts w:hint="eastAsia" w:ascii="宋体" w:hAnsi="宋体"/>
          <w:b/>
          <w:sz w:val="40"/>
          <w:szCs w:val="21"/>
        </w:rPr>
        <w:t xml:space="preserve">  </w:t>
      </w:r>
      <w:r>
        <w:rPr>
          <w:rFonts w:hint="eastAsia" w:ascii="宋体" w:hAnsi="宋体"/>
          <w:b/>
          <w:color w:val="000000"/>
          <w:sz w:val="44"/>
          <w:szCs w:val="24"/>
        </w:rPr>
        <w:t>常用癌痛治疗药物表</w:t>
      </w:r>
      <w:r>
        <w:rPr>
          <w:rFonts w:hint="eastAsia" w:ascii="宋体" w:hAnsi="宋体"/>
          <w:b/>
          <w:color w:val="000000"/>
          <w:sz w:val="44"/>
          <w:szCs w:val="24"/>
        </w:rPr>
        <w:tab/>
      </w:r>
    </w:p>
    <w:tbl>
      <w:tblPr>
        <w:tblStyle w:val="5"/>
        <w:tblW w:w="10350"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5"/>
        <w:gridCol w:w="1701"/>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kern w:val="0"/>
                <w:sz w:val="20"/>
                <w:szCs w:val="21"/>
              </w:rPr>
            </w:pPr>
            <w:r>
              <w:rPr>
                <w:rFonts w:hint="eastAsia"/>
                <w:kern w:val="0"/>
                <w:sz w:val="20"/>
                <w:szCs w:val="21"/>
              </w:rPr>
              <w:t>分类</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kern w:val="0"/>
                <w:sz w:val="20"/>
                <w:szCs w:val="21"/>
              </w:rPr>
            </w:pPr>
            <w:r>
              <w:rPr>
                <w:rFonts w:hint="eastAsia"/>
                <w:kern w:val="0"/>
                <w:sz w:val="20"/>
                <w:szCs w:val="21"/>
              </w:rPr>
              <w:t>药物</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kern w:val="0"/>
                <w:sz w:val="20"/>
                <w:szCs w:val="21"/>
              </w:rPr>
            </w:pPr>
            <w:r>
              <w:rPr>
                <w:rFonts w:hint="eastAsia"/>
                <w:kern w:val="0"/>
                <w:sz w:val="20"/>
                <w:szCs w:val="21"/>
              </w:rPr>
              <w:t>药物名称</w:t>
            </w:r>
          </w:p>
        </w:tc>
        <w:tc>
          <w:tcPr>
            <w:tcW w:w="6663" w:type="dxa"/>
            <w:tcBorders>
              <w:top w:val="single" w:color="auto" w:sz="4" w:space="0"/>
              <w:left w:val="single" w:color="auto" w:sz="4" w:space="0"/>
              <w:bottom w:val="single" w:color="auto" w:sz="4" w:space="0"/>
              <w:right w:val="single" w:color="auto" w:sz="4" w:space="0"/>
            </w:tcBorders>
            <w:vAlign w:val="center"/>
          </w:tcPr>
          <w:p>
            <w:pPr>
              <w:jc w:val="center"/>
              <w:rPr>
                <w:kern w:val="0"/>
                <w:sz w:val="20"/>
                <w:szCs w:val="21"/>
              </w:rPr>
            </w:pPr>
            <w:r>
              <w:rPr>
                <w:rFonts w:hint="eastAsia"/>
                <w:kern w:val="0"/>
                <w:sz w:val="20"/>
                <w:szCs w:val="21"/>
              </w:rPr>
              <w:t>用法用量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阿片生物碱及其衍生物</w:t>
            </w:r>
          </w:p>
        </w:tc>
        <w:tc>
          <w:tcPr>
            <w:tcW w:w="1135" w:type="dxa"/>
            <w:tcBorders>
              <w:top w:val="single" w:color="auto" w:sz="4" w:space="0"/>
              <w:left w:val="single" w:color="auto" w:sz="4" w:space="0"/>
              <w:bottom w:val="single" w:color="auto" w:sz="4" w:space="0"/>
              <w:right w:val="single" w:color="auto" w:sz="4" w:space="0"/>
            </w:tcBorders>
            <w:vAlign w:val="center"/>
          </w:tcPr>
          <w:p>
            <w:pPr>
              <w:ind w:firstLine="200" w:firstLineChars="100"/>
              <w:jc w:val="left"/>
              <w:rPr>
                <w:kern w:val="0"/>
                <w:sz w:val="20"/>
                <w:szCs w:val="21"/>
              </w:rPr>
            </w:pPr>
            <w:r>
              <w:rPr>
                <w:rFonts w:hint="eastAsia"/>
                <w:kern w:val="0"/>
                <w:sz w:val="20"/>
                <w:szCs w:val="21"/>
              </w:rPr>
              <w:t>可待因</w:t>
            </w: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磷酸可待因片</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口服，一次</w:t>
            </w:r>
            <w:r>
              <w:rPr>
                <w:kern w:val="0"/>
                <w:sz w:val="20"/>
                <w:szCs w:val="21"/>
              </w:rPr>
              <w:t>15~30mg</w:t>
            </w:r>
            <w:r>
              <w:rPr>
                <w:rFonts w:hint="eastAsia"/>
                <w:kern w:val="0"/>
                <w:sz w:val="20"/>
                <w:szCs w:val="21"/>
              </w:rPr>
              <w:t>，一日</w:t>
            </w:r>
            <w:r>
              <w:rPr>
                <w:kern w:val="0"/>
                <w:sz w:val="20"/>
                <w:szCs w:val="21"/>
              </w:rPr>
              <w:t>30~90mg</w:t>
            </w:r>
            <w:r>
              <w:rPr>
                <w:rFonts w:hint="eastAsia"/>
                <w:kern w:val="0"/>
                <w:sz w:val="20"/>
                <w:szCs w:val="21"/>
              </w:rPr>
              <w:t>；极量：口服，一次</w:t>
            </w:r>
            <w:r>
              <w:rPr>
                <w:kern w:val="0"/>
                <w:sz w:val="20"/>
                <w:szCs w:val="21"/>
              </w:rPr>
              <w:t>100mg</w:t>
            </w:r>
            <w:r>
              <w:rPr>
                <w:rFonts w:hint="eastAsia"/>
                <w:kern w:val="0"/>
                <w:sz w:val="20"/>
                <w:szCs w:val="21"/>
              </w:rPr>
              <w:t>，一日</w:t>
            </w:r>
            <w:r>
              <w:rPr>
                <w:kern w:val="0"/>
                <w:sz w:val="20"/>
                <w:szCs w:val="21"/>
              </w:rPr>
              <w:t>250mg</w:t>
            </w:r>
            <w:r>
              <w:rPr>
                <w:rFonts w:hint="eastAsia"/>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20"/>
                <w:szCs w:val="21"/>
              </w:rPr>
            </w:pPr>
            <w:r>
              <w:rPr>
                <w:rFonts w:hint="eastAsia"/>
                <w:kern w:val="0"/>
                <w:sz w:val="20"/>
                <w:szCs w:val="21"/>
              </w:rPr>
              <w:t>吗啡</w:t>
            </w: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吗啡缓释片</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包括硫酸盐或盐酸盐。本品必须整片吞服，不可掰开、碾碎或咀嚼。成人每隔</w:t>
            </w:r>
            <w:r>
              <w:rPr>
                <w:kern w:val="0"/>
                <w:sz w:val="20"/>
                <w:szCs w:val="21"/>
              </w:rPr>
              <w:t>12</w:t>
            </w:r>
            <w:r>
              <w:rPr>
                <w:rFonts w:hint="eastAsia"/>
                <w:kern w:val="0"/>
                <w:sz w:val="20"/>
                <w:szCs w:val="21"/>
              </w:rPr>
              <w:t>小时按时服用一次，用量应根据疼痛的严重程度、年龄及服用镇痛药史决定用药剂量，个体间可存在较大差异。最初应用本品者，宜从每</w:t>
            </w:r>
            <w:r>
              <w:rPr>
                <w:kern w:val="0"/>
                <w:sz w:val="20"/>
                <w:szCs w:val="21"/>
              </w:rPr>
              <w:t>12</w:t>
            </w:r>
            <w:r>
              <w:rPr>
                <w:rFonts w:hint="eastAsia"/>
                <w:kern w:val="0"/>
                <w:sz w:val="20"/>
                <w:szCs w:val="21"/>
              </w:rPr>
              <w:t>小时服用</w:t>
            </w:r>
            <w:r>
              <w:rPr>
                <w:kern w:val="0"/>
                <w:sz w:val="20"/>
                <w:szCs w:val="21"/>
              </w:rPr>
              <w:t>10mg</w:t>
            </w:r>
            <w:r>
              <w:rPr>
                <w:rFonts w:hint="eastAsia"/>
                <w:kern w:val="0"/>
                <w:sz w:val="20"/>
                <w:szCs w:val="21"/>
              </w:rPr>
              <w:t>或</w:t>
            </w:r>
            <w:r>
              <w:rPr>
                <w:kern w:val="0"/>
                <w:sz w:val="20"/>
                <w:szCs w:val="21"/>
              </w:rPr>
              <w:t>20mg</w:t>
            </w:r>
            <w:r>
              <w:rPr>
                <w:rFonts w:hint="eastAsia"/>
                <w:kern w:val="0"/>
                <w:sz w:val="20"/>
                <w:szCs w:val="21"/>
              </w:rPr>
              <w:t>开始，根据镇痛效果调整剂量，以及随时增加剂量，达到缓解疼痛的目的。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吗啡口服即释剂（片剂、口服液）</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吗啡片：</w:t>
            </w:r>
          </w:p>
          <w:p>
            <w:pPr>
              <w:jc w:val="left"/>
              <w:rPr>
                <w:kern w:val="0"/>
                <w:sz w:val="20"/>
                <w:szCs w:val="21"/>
              </w:rPr>
            </w:pPr>
            <w:r>
              <w:rPr>
                <w:rFonts w:hint="eastAsia"/>
                <w:kern w:val="0"/>
                <w:sz w:val="20"/>
                <w:szCs w:val="21"/>
              </w:rPr>
              <w:t>包括硫酸盐或盐酸盐。口服。成人常用量：一次</w:t>
            </w:r>
            <w:r>
              <w:rPr>
                <w:kern w:val="0"/>
                <w:sz w:val="20"/>
                <w:szCs w:val="21"/>
              </w:rPr>
              <w:t>5~15mg</w:t>
            </w:r>
            <w:r>
              <w:rPr>
                <w:rFonts w:hint="eastAsia"/>
                <w:kern w:val="0"/>
                <w:sz w:val="20"/>
                <w:szCs w:val="21"/>
              </w:rPr>
              <w:t>。一日</w:t>
            </w:r>
            <w:r>
              <w:rPr>
                <w:kern w:val="0"/>
                <w:sz w:val="20"/>
                <w:szCs w:val="21"/>
              </w:rPr>
              <w:t>15~60mg</w:t>
            </w:r>
            <w:r>
              <w:rPr>
                <w:rFonts w:hint="eastAsia"/>
                <w:kern w:val="0"/>
                <w:sz w:val="20"/>
                <w:szCs w:val="21"/>
              </w:rPr>
              <w:t>。对于重度癌痛患者，应按时口服，个体化给药，逐渐增量，以充分缓解癌痛。老年人及肝、肾功能不全患者应酌情减量。</w:t>
            </w:r>
          </w:p>
          <w:p>
            <w:pPr>
              <w:jc w:val="left"/>
              <w:rPr>
                <w:kern w:val="0"/>
                <w:sz w:val="20"/>
                <w:szCs w:val="21"/>
              </w:rPr>
            </w:pPr>
          </w:p>
          <w:p>
            <w:pPr>
              <w:jc w:val="left"/>
              <w:rPr>
                <w:kern w:val="0"/>
                <w:sz w:val="20"/>
                <w:szCs w:val="21"/>
              </w:rPr>
            </w:pPr>
            <w:r>
              <w:rPr>
                <w:rFonts w:hint="eastAsia"/>
                <w:kern w:val="0"/>
                <w:sz w:val="20"/>
                <w:szCs w:val="21"/>
              </w:rPr>
              <w:t>硫酸吗啡口服溶液：</w:t>
            </w:r>
          </w:p>
          <w:p>
            <w:pPr>
              <w:jc w:val="left"/>
              <w:rPr>
                <w:kern w:val="0"/>
                <w:sz w:val="20"/>
                <w:szCs w:val="21"/>
              </w:rPr>
            </w:pPr>
            <w:r>
              <w:rPr>
                <w:rFonts w:hint="eastAsia"/>
                <w:kern w:val="0"/>
                <w:sz w:val="20"/>
                <w:szCs w:val="21"/>
              </w:rPr>
              <w:t>成人口服常用量为一次</w:t>
            </w:r>
            <w:r>
              <w:rPr>
                <w:kern w:val="0"/>
                <w:sz w:val="20"/>
                <w:szCs w:val="21"/>
              </w:rPr>
              <w:t>5~10mg</w:t>
            </w:r>
            <w:r>
              <w:rPr>
                <w:rFonts w:hint="eastAsia"/>
                <w:kern w:val="0"/>
                <w:sz w:val="20"/>
                <w:szCs w:val="21"/>
              </w:rPr>
              <w:t>，每</w:t>
            </w:r>
            <w:r>
              <w:rPr>
                <w:kern w:val="0"/>
                <w:sz w:val="20"/>
                <w:szCs w:val="21"/>
              </w:rPr>
              <w:t xml:space="preserve">4 </w:t>
            </w:r>
            <w:r>
              <w:rPr>
                <w:rFonts w:hint="eastAsia"/>
                <w:kern w:val="0"/>
                <w:sz w:val="20"/>
                <w:szCs w:val="21"/>
              </w:rPr>
              <w:t>小时一次，按照拟定的时间表按时服用。可根据患者情况逐渐增量调整，一次用量一般应不超过</w:t>
            </w:r>
            <w:r>
              <w:rPr>
                <w:kern w:val="0"/>
                <w:sz w:val="20"/>
                <w:szCs w:val="21"/>
              </w:rPr>
              <w:t>30mg</w:t>
            </w:r>
            <w:r>
              <w:rPr>
                <w:rFonts w:hint="eastAsia"/>
                <w:kern w:val="0"/>
                <w:sz w:val="20"/>
                <w:szCs w:val="21"/>
              </w:rPr>
              <w:t>，一日用量应不超过</w:t>
            </w:r>
            <w:r>
              <w:rPr>
                <w:kern w:val="0"/>
                <w:sz w:val="20"/>
                <w:szCs w:val="21"/>
              </w:rPr>
              <w:t>0.1g</w:t>
            </w:r>
            <w:r>
              <w:rPr>
                <w:rFonts w:hint="eastAsia"/>
                <w:kern w:val="0"/>
                <w:sz w:val="20"/>
                <w:szCs w:val="21"/>
              </w:rPr>
              <w:t>。根据</w:t>
            </w:r>
            <w:r>
              <w:rPr>
                <w:kern w:val="0"/>
                <w:sz w:val="20"/>
                <w:szCs w:val="21"/>
              </w:rPr>
              <w:t>WHO</w:t>
            </w:r>
            <w:r>
              <w:rPr>
                <w:rFonts w:hint="eastAsia"/>
                <w:kern w:val="0"/>
                <w:sz w:val="20"/>
                <w:szCs w:val="21"/>
              </w:rPr>
              <w:t>《癌症疼痛三阶段止痛治疗指导原则》中关于癌症疼痛治疗用药个体化的规定，对癌症病人镇痛使用吗啡应由医师根据病情需要和耐受情况决定剂量。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吗啡注射剂</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盐酸吗啡注射液：</w:t>
            </w:r>
          </w:p>
          <w:p>
            <w:pPr>
              <w:jc w:val="left"/>
              <w:rPr>
                <w:kern w:val="0"/>
                <w:sz w:val="20"/>
                <w:szCs w:val="21"/>
              </w:rPr>
            </w:pPr>
            <w:r>
              <w:rPr>
                <w:rFonts w:hint="eastAsia"/>
                <w:kern w:val="0"/>
                <w:sz w:val="20"/>
                <w:szCs w:val="21"/>
              </w:rPr>
              <w:t>皮下注射：成人常用量：一次</w:t>
            </w:r>
            <w:r>
              <w:rPr>
                <w:kern w:val="0"/>
                <w:sz w:val="20"/>
                <w:szCs w:val="21"/>
              </w:rPr>
              <w:t xml:space="preserve"> 5~15mg</w:t>
            </w:r>
            <w:r>
              <w:rPr>
                <w:rFonts w:hint="eastAsia"/>
                <w:kern w:val="0"/>
                <w:sz w:val="20"/>
                <w:szCs w:val="21"/>
              </w:rPr>
              <w:t>，一日</w:t>
            </w:r>
            <w:r>
              <w:rPr>
                <w:kern w:val="0"/>
                <w:sz w:val="20"/>
                <w:szCs w:val="21"/>
              </w:rPr>
              <w:t>10~40mg</w:t>
            </w:r>
            <w:r>
              <w:rPr>
                <w:rFonts w:hint="eastAsia"/>
                <w:kern w:val="0"/>
                <w:sz w:val="20"/>
                <w:szCs w:val="21"/>
              </w:rPr>
              <w:t>；</w:t>
            </w:r>
            <w:r>
              <w:rPr>
                <w:kern w:val="0"/>
                <w:sz w:val="20"/>
                <w:szCs w:val="21"/>
              </w:rPr>
              <w:t xml:space="preserve"> </w:t>
            </w:r>
          </w:p>
          <w:p>
            <w:pPr>
              <w:jc w:val="left"/>
              <w:rPr>
                <w:kern w:val="0"/>
                <w:sz w:val="20"/>
                <w:szCs w:val="21"/>
              </w:rPr>
            </w:pPr>
            <w:r>
              <w:rPr>
                <w:rFonts w:hint="eastAsia"/>
                <w:kern w:val="0"/>
                <w:sz w:val="20"/>
                <w:szCs w:val="21"/>
              </w:rPr>
              <w:t>静脉注射：成人镇痛时常用量</w:t>
            </w:r>
            <w:r>
              <w:rPr>
                <w:kern w:val="0"/>
                <w:sz w:val="20"/>
                <w:szCs w:val="21"/>
              </w:rPr>
              <w:t>5~10mg</w:t>
            </w:r>
            <w:r>
              <w:rPr>
                <w:rFonts w:hint="eastAsia"/>
                <w:kern w:val="0"/>
                <w:sz w:val="20"/>
                <w:szCs w:val="21"/>
              </w:rPr>
              <w:t>。</w:t>
            </w:r>
          </w:p>
          <w:p>
            <w:pPr>
              <w:jc w:val="left"/>
              <w:rPr>
                <w:kern w:val="0"/>
                <w:sz w:val="20"/>
                <w:szCs w:val="21"/>
              </w:rPr>
            </w:pPr>
            <w:r>
              <w:rPr>
                <w:rFonts w:hint="eastAsia"/>
                <w:kern w:val="0"/>
                <w:sz w:val="20"/>
                <w:szCs w:val="21"/>
              </w:rPr>
              <w:t>对于重度癌痛病人，首次剂量范围较大，每日</w:t>
            </w:r>
            <w:r>
              <w:rPr>
                <w:kern w:val="0"/>
                <w:sz w:val="20"/>
                <w:szCs w:val="21"/>
              </w:rPr>
              <w:t>3~6</w:t>
            </w:r>
            <w:r>
              <w:rPr>
                <w:rFonts w:hint="eastAsia"/>
                <w:kern w:val="0"/>
                <w:sz w:val="20"/>
                <w:szCs w:val="21"/>
              </w:rPr>
              <w:t>次，以预防癌痛发生及充分缓解癌痛。</w:t>
            </w:r>
          </w:p>
          <w:p>
            <w:pPr>
              <w:jc w:val="left"/>
              <w:rPr>
                <w:kern w:val="0"/>
                <w:sz w:val="20"/>
                <w:szCs w:val="21"/>
              </w:rPr>
            </w:pPr>
          </w:p>
          <w:p>
            <w:pPr>
              <w:jc w:val="left"/>
              <w:rPr>
                <w:kern w:val="0"/>
                <w:sz w:val="20"/>
                <w:szCs w:val="21"/>
              </w:rPr>
            </w:pPr>
            <w:r>
              <w:rPr>
                <w:rFonts w:hint="eastAsia"/>
                <w:kern w:val="0"/>
                <w:sz w:val="20"/>
                <w:szCs w:val="21"/>
              </w:rPr>
              <w:t>硫酸吗啡注射液：</w:t>
            </w:r>
          </w:p>
          <w:p>
            <w:pPr>
              <w:jc w:val="left"/>
              <w:rPr>
                <w:kern w:val="0"/>
                <w:sz w:val="20"/>
                <w:szCs w:val="21"/>
              </w:rPr>
            </w:pPr>
            <w:r>
              <w:rPr>
                <w:rFonts w:hint="eastAsia"/>
                <w:kern w:val="0"/>
                <w:sz w:val="20"/>
                <w:szCs w:val="21"/>
              </w:rPr>
              <w:t>可皮下注射。常用量：</w:t>
            </w:r>
            <w:r>
              <w:rPr>
                <w:kern w:val="0"/>
                <w:sz w:val="20"/>
                <w:szCs w:val="21"/>
              </w:rPr>
              <w:t>10~30mg</w:t>
            </w:r>
            <w:r>
              <w:rPr>
                <w:rFonts w:hint="eastAsia"/>
                <w:kern w:val="0"/>
                <w:sz w:val="20"/>
                <w:szCs w:val="21"/>
              </w:rPr>
              <w:t>，每日</w:t>
            </w:r>
            <w:r>
              <w:rPr>
                <w:kern w:val="0"/>
                <w:sz w:val="20"/>
                <w:szCs w:val="21"/>
              </w:rPr>
              <w:t>3~4</w:t>
            </w:r>
            <w:r>
              <w:rPr>
                <w:rFonts w:hint="eastAsia"/>
                <w:kern w:val="0"/>
                <w:sz w:val="20"/>
                <w:szCs w:val="21"/>
              </w:rPr>
              <w:t>次。但病人所需有效剂量及耐受性很不一致，故需逐渐调整使病人不痛为止。一般病人每日用量应不超过</w:t>
            </w:r>
            <w:r>
              <w:rPr>
                <w:kern w:val="0"/>
                <w:sz w:val="20"/>
                <w:szCs w:val="21"/>
              </w:rPr>
              <w:t>100mg</w:t>
            </w:r>
            <w:r>
              <w:rPr>
                <w:rFonts w:hint="eastAsia"/>
                <w:kern w:val="0"/>
                <w:sz w:val="20"/>
                <w:szCs w:val="21"/>
              </w:rPr>
              <w:t>。如长期使用剂量可增高。对身体虚弱或体重轻于标准的患者，初始剂量应适当减少。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硫酸吗啡栓</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经肛门给药，成人常用量为一次</w:t>
            </w:r>
            <w:r>
              <w:rPr>
                <w:kern w:val="0"/>
                <w:sz w:val="20"/>
                <w:szCs w:val="21"/>
              </w:rPr>
              <w:t>10~20mg</w:t>
            </w:r>
            <w:r>
              <w:rPr>
                <w:rFonts w:hint="eastAsia"/>
                <w:kern w:val="0"/>
                <w:sz w:val="20"/>
                <w:szCs w:val="21"/>
              </w:rPr>
              <w:t>，每</w:t>
            </w:r>
            <w:r>
              <w:rPr>
                <w:kern w:val="0"/>
                <w:sz w:val="20"/>
                <w:szCs w:val="21"/>
              </w:rPr>
              <w:t>4</w:t>
            </w:r>
            <w:r>
              <w:rPr>
                <w:rFonts w:hint="eastAsia"/>
                <w:kern w:val="0"/>
                <w:sz w:val="20"/>
                <w:szCs w:val="21"/>
              </w:rPr>
              <w:t>小时一次，按照拟定的时间表按时给药。可根据患者情况逐渐增量调整，一次用量一般应不超过</w:t>
            </w:r>
            <w:r>
              <w:rPr>
                <w:kern w:val="0"/>
                <w:sz w:val="20"/>
                <w:szCs w:val="21"/>
              </w:rPr>
              <w:t>30mg</w:t>
            </w:r>
            <w:r>
              <w:rPr>
                <w:rFonts w:hint="eastAsia"/>
                <w:kern w:val="0"/>
                <w:sz w:val="20"/>
                <w:szCs w:val="21"/>
              </w:rPr>
              <w:t>，一日用量应不超过</w:t>
            </w:r>
            <w:r>
              <w:rPr>
                <w:kern w:val="0"/>
                <w:sz w:val="20"/>
                <w:szCs w:val="21"/>
              </w:rPr>
              <w:t>0.1g</w:t>
            </w:r>
            <w:r>
              <w:rPr>
                <w:rFonts w:hint="eastAsia"/>
                <w:kern w:val="0"/>
                <w:sz w:val="20"/>
                <w:szCs w:val="21"/>
              </w:rPr>
              <w:t>。根据</w:t>
            </w:r>
            <w:r>
              <w:rPr>
                <w:kern w:val="0"/>
                <w:sz w:val="20"/>
                <w:szCs w:val="21"/>
              </w:rPr>
              <w:t>WHO</w:t>
            </w:r>
            <w:r>
              <w:rPr>
                <w:rFonts w:hint="eastAsia"/>
                <w:kern w:val="0"/>
                <w:sz w:val="20"/>
                <w:szCs w:val="21"/>
              </w:rPr>
              <w:t>《癌症疼痛三阶段止痛治疗指导原则》中关于癌症疼痛治疗用药个体化的规定，对癌症病人镇痛使用吗啡应由医师根据病情需要和耐受情况决定剂量。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20"/>
                <w:szCs w:val="21"/>
              </w:rPr>
            </w:pPr>
            <w:r>
              <w:rPr>
                <w:rFonts w:hint="eastAsia"/>
                <w:kern w:val="0"/>
                <w:sz w:val="20"/>
                <w:szCs w:val="21"/>
              </w:rPr>
              <w:t>羟考酮</w:t>
            </w: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盐酸羟考酮缓释片</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整片吞服，不得掰开、咀嚼或研碎。每</w:t>
            </w:r>
            <w:r>
              <w:rPr>
                <w:kern w:val="0"/>
                <w:sz w:val="20"/>
                <w:szCs w:val="21"/>
              </w:rPr>
              <w:t>12</w:t>
            </w:r>
            <w:r>
              <w:rPr>
                <w:rFonts w:hint="eastAsia"/>
                <w:kern w:val="0"/>
                <w:sz w:val="20"/>
                <w:szCs w:val="21"/>
              </w:rPr>
              <w:t>小时服用一次，用药剂量取决于患者的疼痛严重程度和既往镇痛药用药史。根据病情仔细滴定剂量，直至理想镇痛。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羟考酮口服即释剂</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盐酸羟考酮胶囊：本品应每隔</w:t>
            </w:r>
            <w:r>
              <w:rPr>
                <w:kern w:val="0"/>
                <w:sz w:val="20"/>
                <w:szCs w:val="21"/>
              </w:rPr>
              <w:t>4~6</w:t>
            </w:r>
            <w:r>
              <w:rPr>
                <w:rFonts w:hint="eastAsia"/>
                <w:kern w:val="0"/>
                <w:sz w:val="20"/>
                <w:szCs w:val="21"/>
              </w:rPr>
              <w:t>小时给药</w:t>
            </w:r>
            <w:r>
              <w:rPr>
                <w:kern w:val="0"/>
                <w:sz w:val="20"/>
                <w:szCs w:val="21"/>
              </w:rPr>
              <w:t>1</w:t>
            </w:r>
            <w:r>
              <w:rPr>
                <w:rFonts w:hint="eastAsia"/>
                <w:kern w:val="0"/>
                <w:sz w:val="20"/>
                <w:szCs w:val="21"/>
              </w:rPr>
              <w:t>次，给药剂量应根据患者的疼痛程度和镇痛药的使用既往史而决定。疼痛程度增加，需要增大给药剂量以达到疼痛的缓解。首次服用阿片类药物或用弱阿片类药物不能控制其疼痛的重度疼痛患者，初始给药剂量为</w:t>
            </w:r>
            <w:r>
              <w:rPr>
                <w:kern w:val="0"/>
                <w:sz w:val="20"/>
                <w:szCs w:val="21"/>
              </w:rPr>
              <w:t>5mg</w:t>
            </w:r>
            <w:r>
              <w:rPr>
                <w:rFonts w:hint="eastAsia"/>
                <w:kern w:val="0"/>
                <w:sz w:val="20"/>
                <w:szCs w:val="21"/>
              </w:rPr>
              <w:t>，每隔</w:t>
            </w:r>
            <w:r>
              <w:rPr>
                <w:kern w:val="0"/>
                <w:sz w:val="20"/>
                <w:szCs w:val="21"/>
              </w:rPr>
              <w:t>4~6</w:t>
            </w:r>
            <w:r>
              <w:rPr>
                <w:rFonts w:hint="eastAsia"/>
                <w:kern w:val="0"/>
                <w:sz w:val="20"/>
                <w:szCs w:val="21"/>
              </w:rPr>
              <w:t>小时给药一次。然后应仔细进行剂量滴定，如有必要，可每日一次，以达到疼痛缓解。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盐酸羟考酮注射液</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静脉推注：将药液以</w:t>
            </w:r>
            <w:r>
              <w:rPr>
                <w:kern w:val="0"/>
                <w:sz w:val="20"/>
                <w:szCs w:val="21"/>
              </w:rPr>
              <w:t>0.9%</w:t>
            </w:r>
            <w:r>
              <w:rPr>
                <w:rFonts w:hint="eastAsia"/>
                <w:kern w:val="0"/>
                <w:sz w:val="20"/>
                <w:szCs w:val="21"/>
              </w:rPr>
              <w:t>生理盐水、</w:t>
            </w:r>
            <w:r>
              <w:rPr>
                <w:kern w:val="0"/>
                <w:sz w:val="20"/>
                <w:szCs w:val="21"/>
              </w:rPr>
              <w:t>5 %</w:t>
            </w:r>
            <w:r>
              <w:rPr>
                <w:rFonts w:hint="eastAsia"/>
                <w:kern w:val="0"/>
                <w:sz w:val="20"/>
                <w:szCs w:val="21"/>
              </w:rPr>
              <w:t>葡萄糖或注射用水稀释至</w:t>
            </w:r>
            <w:r>
              <w:rPr>
                <w:kern w:val="0"/>
                <w:sz w:val="20"/>
                <w:szCs w:val="21"/>
              </w:rPr>
              <w:t>1mg /ml</w:t>
            </w:r>
            <w:r>
              <w:rPr>
                <w:rFonts w:hint="eastAsia"/>
                <w:kern w:val="0"/>
                <w:sz w:val="20"/>
                <w:szCs w:val="21"/>
              </w:rPr>
              <w:t>。在</w:t>
            </w:r>
            <w:r>
              <w:rPr>
                <w:kern w:val="0"/>
                <w:sz w:val="20"/>
                <w:szCs w:val="21"/>
              </w:rPr>
              <w:t>1~2</w:t>
            </w:r>
            <w:r>
              <w:rPr>
                <w:rFonts w:hint="eastAsia"/>
                <w:kern w:val="0"/>
                <w:sz w:val="20"/>
                <w:szCs w:val="21"/>
              </w:rPr>
              <w:t>分钟内缓慢推注给药</w:t>
            </w:r>
            <w:r>
              <w:rPr>
                <w:kern w:val="0"/>
                <w:sz w:val="20"/>
                <w:szCs w:val="21"/>
              </w:rPr>
              <w:t>1~10mg</w:t>
            </w:r>
            <w:r>
              <w:rPr>
                <w:rFonts w:hint="eastAsia"/>
                <w:kern w:val="0"/>
                <w:sz w:val="20"/>
                <w:szCs w:val="21"/>
              </w:rPr>
              <w:t>。给药频率不应短于每</w:t>
            </w:r>
            <w:r>
              <w:rPr>
                <w:kern w:val="0"/>
                <w:sz w:val="20"/>
                <w:szCs w:val="21"/>
              </w:rPr>
              <w:t>4</w:t>
            </w:r>
            <w:r>
              <w:rPr>
                <w:rFonts w:hint="eastAsia"/>
                <w:kern w:val="0"/>
                <w:sz w:val="20"/>
                <w:szCs w:val="21"/>
              </w:rPr>
              <w:t>小时一次。</w:t>
            </w:r>
          </w:p>
          <w:p>
            <w:pPr>
              <w:jc w:val="left"/>
              <w:rPr>
                <w:kern w:val="0"/>
                <w:sz w:val="20"/>
                <w:szCs w:val="21"/>
              </w:rPr>
            </w:pPr>
            <w:r>
              <w:rPr>
                <w:rFonts w:hint="eastAsia"/>
                <w:kern w:val="0"/>
                <w:sz w:val="20"/>
                <w:szCs w:val="21"/>
              </w:rPr>
              <w:t>静脉输注：将药液以</w:t>
            </w:r>
            <w:r>
              <w:rPr>
                <w:kern w:val="0"/>
                <w:sz w:val="20"/>
                <w:szCs w:val="21"/>
              </w:rPr>
              <w:t>0.9 %</w:t>
            </w:r>
            <w:r>
              <w:rPr>
                <w:rFonts w:hint="eastAsia"/>
                <w:kern w:val="0"/>
                <w:sz w:val="20"/>
                <w:szCs w:val="21"/>
              </w:rPr>
              <w:t>生理盐水、</w:t>
            </w:r>
            <w:r>
              <w:rPr>
                <w:kern w:val="0"/>
                <w:sz w:val="20"/>
                <w:szCs w:val="21"/>
              </w:rPr>
              <w:t>5%</w:t>
            </w:r>
            <w:r>
              <w:rPr>
                <w:rFonts w:hint="eastAsia"/>
                <w:kern w:val="0"/>
                <w:sz w:val="20"/>
                <w:szCs w:val="21"/>
              </w:rPr>
              <w:t>葡萄糖或注射用水稀释至</w:t>
            </w:r>
            <w:r>
              <w:rPr>
                <w:kern w:val="0"/>
                <w:sz w:val="20"/>
                <w:szCs w:val="21"/>
              </w:rPr>
              <w:t>1mg /ml</w:t>
            </w:r>
            <w:r>
              <w:rPr>
                <w:rFonts w:hint="eastAsia"/>
                <w:kern w:val="0"/>
                <w:sz w:val="20"/>
                <w:szCs w:val="21"/>
              </w:rPr>
              <w:t>。推荐起始剂量为每小时</w:t>
            </w:r>
            <w:r>
              <w:rPr>
                <w:kern w:val="0"/>
                <w:sz w:val="20"/>
                <w:szCs w:val="21"/>
              </w:rPr>
              <w:t>2mg</w:t>
            </w:r>
            <w:r>
              <w:rPr>
                <w:rFonts w:hint="eastAsia"/>
                <w:kern w:val="0"/>
                <w:sz w:val="20"/>
                <w:szCs w:val="21"/>
              </w:rPr>
              <w:t>。</w:t>
            </w:r>
          </w:p>
          <w:p>
            <w:pPr>
              <w:jc w:val="left"/>
              <w:rPr>
                <w:kern w:val="0"/>
                <w:sz w:val="20"/>
                <w:szCs w:val="21"/>
              </w:rPr>
            </w:pPr>
            <w:r>
              <w:rPr>
                <w:rFonts w:hint="eastAsia"/>
                <w:kern w:val="0"/>
                <w:sz w:val="20"/>
                <w:szCs w:val="21"/>
              </w:rPr>
              <w:t>静脉</w:t>
            </w:r>
            <w:r>
              <w:rPr>
                <w:kern w:val="0"/>
                <w:sz w:val="20"/>
                <w:szCs w:val="21"/>
              </w:rPr>
              <w:t>(PCA</w:t>
            </w:r>
            <w:r>
              <w:rPr>
                <w:rFonts w:hint="eastAsia"/>
                <w:kern w:val="0"/>
                <w:sz w:val="20"/>
                <w:szCs w:val="21"/>
              </w:rPr>
              <w:t>泵</w:t>
            </w:r>
            <w:r>
              <w:rPr>
                <w:kern w:val="0"/>
                <w:sz w:val="20"/>
                <w:szCs w:val="21"/>
              </w:rPr>
              <w:t>)</w:t>
            </w:r>
            <w:r>
              <w:rPr>
                <w:rFonts w:hint="eastAsia"/>
                <w:kern w:val="0"/>
                <w:sz w:val="20"/>
                <w:szCs w:val="21"/>
              </w:rPr>
              <w:t>：将药液以</w:t>
            </w:r>
            <w:r>
              <w:rPr>
                <w:kern w:val="0"/>
                <w:sz w:val="20"/>
                <w:szCs w:val="21"/>
              </w:rPr>
              <w:t>0.9 %</w:t>
            </w:r>
            <w:r>
              <w:rPr>
                <w:rFonts w:hint="eastAsia"/>
                <w:kern w:val="0"/>
                <w:sz w:val="20"/>
                <w:szCs w:val="21"/>
              </w:rPr>
              <w:t>生理盐水、</w:t>
            </w:r>
            <w:r>
              <w:rPr>
                <w:kern w:val="0"/>
                <w:sz w:val="20"/>
                <w:szCs w:val="21"/>
              </w:rPr>
              <w:t>5 %</w:t>
            </w:r>
            <w:r>
              <w:rPr>
                <w:rFonts w:hint="eastAsia"/>
                <w:kern w:val="0"/>
                <w:sz w:val="20"/>
                <w:szCs w:val="21"/>
              </w:rPr>
              <w:t>葡萄糖或注射用水稀释至</w:t>
            </w:r>
            <w:r>
              <w:rPr>
                <w:kern w:val="0"/>
                <w:sz w:val="20"/>
                <w:szCs w:val="21"/>
              </w:rPr>
              <w:t>1mg/ml</w:t>
            </w:r>
            <w:r>
              <w:rPr>
                <w:rFonts w:hint="eastAsia"/>
                <w:kern w:val="0"/>
                <w:sz w:val="20"/>
                <w:szCs w:val="21"/>
              </w:rPr>
              <w:t>。每次给药量为</w:t>
            </w:r>
            <w:r>
              <w:rPr>
                <w:kern w:val="0"/>
                <w:sz w:val="20"/>
                <w:szCs w:val="21"/>
              </w:rPr>
              <w:t>0.03mg/kg</w:t>
            </w:r>
            <w:r>
              <w:rPr>
                <w:rFonts w:hint="eastAsia"/>
                <w:kern w:val="0"/>
                <w:sz w:val="20"/>
                <w:szCs w:val="21"/>
              </w:rPr>
              <w:t>体重，给药间隔不应短于</w:t>
            </w:r>
            <w:r>
              <w:rPr>
                <w:kern w:val="0"/>
                <w:sz w:val="20"/>
                <w:szCs w:val="21"/>
              </w:rPr>
              <w:t>5</w:t>
            </w:r>
            <w:r>
              <w:rPr>
                <w:rFonts w:hint="eastAsia"/>
                <w:kern w:val="0"/>
                <w:sz w:val="20"/>
                <w:szCs w:val="21"/>
              </w:rPr>
              <w:t>分钟。</w:t>
            </w:r>
          </w:p>
          <w:p>
            <w:pPr>
              <w:jc w:val="left"/>
              <w:rPr>
                <w:kern w:val="0"/>
                <w:sz w:val="20"/>
                <w:szCs w:val="21"/>
              </w:rPr>
            </w:pPr>
            <w:r>
              <w:rPr>
                <w:rFonts w:hint="eastAsia"/>
                <w:kern w:val="0"/>
                <w:sz w:val="20"/>
                <w:szCs w:val="21"/>
              </w:rPr>
              <w:t>皮下推注：使用浓度为</w:t>
            </w:r>
            <w:r>
              <w:rPr>
                <w:kern w:val="0"/>
                <w:sz w:val="20"/>
                <w:szCs w:val="21"/>
              </w:rPr>
              <w:t>10mg/ml</w:t>
            </w:r>
            <w:r>
              <w:rPr>
                <w:rFonts w:hint="eastAsia"/>
                <w:kern w:val="0"/>
                <w:sz w:val="20"/>
                <w:szCs w:val="21"/>
              </w:rPr>
              <w:t>的溶液，推荐起始剂量为</w:t>
            </w:r>
            <w:r>
              <w:rPr>
                <w:kern w:val="0"/>
                <w:sz w:val="20"/>
                <w:szCs w:val="21"/>
              </w:rPr>
              <w:t>5mg</w:t>
            </w:r>
            <w:r>
              <w:rPr>
                <w:rFonts w:hint="eastAsia"/>
                <w:kern w:val="0"/>
                <w:sz w:val="20"/>
                <w:szCs w:val="21"/>
              </w:rPr>
              <w:t>，如有必要每</w:t>
            </w:r>
            <w:r>
              <w:rPr>
                <w:kern w:val="0"/>
                <w:sz w:val="20"/>
                <w:szCs w:val="21"/>
              </w:rPr>
              <w:t>4</w:t>
            </w:r>
            <w:r>
              <w:rPr>
                <w:rFonts w:hint="eastAsia"/>
                <w:kern w:val="0"/>
                <w:sz w:val="20"/>
                <w:szCs w:val="21"/>
              </w:rPr>
              <w:t>小时重复给药一次。</w:t>
            </w:r>
          </w:p>
          <w:p>
            <w:pPr>
              <w:jc w:val="left"/>
              <w:rPr>
                <w:kern w:val="0"/>
                <w:sz w:val="20"/>
                <w:szCs w:val="21"/>
              </w:rPr>
            </w:pPr>
            <w:r>
              <w:rPr>
                <w:rFonts w:hint="eastAsia"/>
                <w:kern w:val="0"/>
                <w:sz w:val="20"/>
                <w:szCs w:val="21"/>
              </w:rPr>
              <w:t>皮下输注：如有必要以</w:t>
            </w:r>
            <w:r>
              <w:rPr>
                <w:kern w:val="0"/>
                <w:sz w:val="20"/>
                <w:szCs w:val="21"/>
              </w:rPr>
              <w:t>0.9%</w:t>
            </w:r>
            <w:r>
              <w:rPr>
                <w:rFonts w:hint="eastAsia"/>
                <w:kern w:val="0"/>
                <w:sz w:val="20"/>
                <w:szCs w:val="21"/>
              </w:rPr>
              <w:t>生理盐水、</w:t>
            </w:r>
            <w:r>
              <w:rPr>
                <w:kern w:val="0"/>
                <w:sz w:val="20"/>
                <w:szCs w:val="21"/>
              </w:rPr>
              <w:t>5%</w:t>
            </w:r>
            <w:r>
              <w:rPr>
                <w:rFonts w:hint="eastAsia"/>
                <w:kern w:val="0"/>
                <w:sz w:val="20"/>
                <w:szCs w:val="21"/>
              </w:rPr>
              <w:t>葡萄糖或注射用水稀释。对未使用过阿片类药物的患者推荐的起始剂量为每日</w:t>
            </w:r>
            <w:r>
              <w:rPr>
                <w:kern w:val="0"/>
                <w:sz w:val="20"/>
                <w:szCs w:val="21"/>
              </w:rPr>
              <w:t>7.5mg</w:t>
            </w:r>
            <w:r>
              <w:rPr>
                <w:rFonts w:hint="eastAsia"/>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kern w:val="0"/>
                <w:sz w:val="20"/>
                <w:szCs w:val="21"/>
              </w:rPr>
            </w:pPr>
            <w:r>
              <w:rPr>
                <w:rFonts w:hint="eastAsia"/>
                <w:kern w:val="0"/>
                <w:sz w:val="20"/>
                <w:szCs w:val="21"/>
              </w:rPr>
              <w:t>丁丙诺啡</w:t>
            </w: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盐酸丁丙诺啡透皮贴剂</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每贴使用</w:t>
            </w:r>
            <w:r>
              <w:rPr>
                <w:kern w:val="0"/>
                <w:sz w:val="20"/>
                <w:szCs w:val="21"/>
              </w:rPr>
              <w:t>7</w:t>
            </w:r>
            <w:r>
              <w:rPr>
                <w:rFonts w:hint="eastAsia"/>
                <w:kern w:val="0"/>
                <w:sz w:val="20"/>
                <w:szCs w:val="21"/>
              </w:rPr>
              <w:t>天。初始剂量为最低的丁丙诺啡透皮贴剂剂量</w:t>
            </w:r>
            <w:r>
              <w:rPr>
                <w:kern w:val="0"/>
                <w:sz w:val="20"/>
                <w:szCs w:val="21"/>
              </w:rPr>
              <w:t>(5μg/h)</w:t>
            </w:r>
            <w:r>
              <w:rPr>
                <w:rFonts w:hint="eastAsia"/>
                <w:kern w:val="0"/>
                <w:sz w:val="20"/>
                <w:szCs w:val="21"/>
              </w:rPr>
              <w:t>。应考虑患者先前阿片类药物的用药史，以及患者当前的一般情况和疾病情况。剂量增加应以对补充性止痛药的需求和患者对贴剂的止痛效果的反应为基础。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氢吗啡酮</w:t>
            </w: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盐酸氢吗啡酮注射液</w:t>
            </w:r>
          </w:p>
        </w:tc>
        <w:tc>
          <w:tcPr>
            <w:tcW w:w="66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kern w:val="0"/>
                <w:sz w:val="20"/>
                <w:szCs w:val="21"/>
              </w:rPr>
            </w:pPr>
            <w:r>
              <w:rPr>
                <w:rFonts w:hint="eastAsia"/>
                <w:kern w:val="0"/>
                <w:sz w:val="20"/>
                <w:szCs w:val="21"/>
              </w:rPr>
              <w:t>未使用过阿片类药物的患者的治疗</w:t>
            </w:r>
          </w:p>
          <w:p>
            <w:pPr>
              <w:autoSpaceDE w:val="0"/>
              <w:autoSpaceDN w:val="0"/>
              <w:adjustRightInd w:val="0"/>
              <w:jc w:val="left"/>
              <w:rPr>
                <w:kern w:val="0"/>
                <w:sz w:val="20"/>
                <w:szCs w:val="21"/>
              </w:rPr>
            </w:pPr>
            <w:r>
              <w:rPr>
                <w:kern w:val="0"/>
                <w:sz w:val="20"/>
                <w:szCs w:val="21"/>
              </w:rPr>
              <w:t xml:space="preserve">1. </w:t>
            </w:r>
            <w:r>
              <w:rPr>
                <w:rFonts w:hint="eastAsia"/>
                <w:kern w:val="0"/>
                <w:sz w:val="20"/>
                <w:szCs w:val="21"/>
              </w:rPr>
              <w:t>皮下注射或肌肉注射</w:t>
            </w:r>
          </w:p>
          <w:p>
            <w:pPr>
              <w:autoSpaceDE w:val="0"/>
              <w:autoSpaceDN w:val="0"/>
              <w:adjustRightInd w:val="0"/>
              <w:jc w:val="left"/>
              <w:rPr>
                <w:kern w:val="0"/>
                <w:sz w:val="20"/>
                <w:szCs w:val="21"/>
              </w:rPr>
            </w:pPr>
            <w:r>
              <w:rPr>
                <w:rFonts w:hint="eastAsia"/>
                <w:kern w:val="0"/>
                <w:sz w:val="20"/>
                <w:szCs w:val="21"/>
              </w:rPr>
              <w:t>起始剂量为每</w:t>
            </w:r>
            <w:r>
              <w:rPr>
                <w:kern w:val="0"/>
                <w:sz w:val="20"/>
                <w:szCs w:val="21"/>
              </w:rPr>
              <w:t>2~3</w:t>
            </w:r>
            <w:r>
              <w:rPr>
                <w:rFonts w:hint="eastAsia"/>
                <w:kern w:val="0"/>
                <w:sz w:val="20"/>
                <w:szCs w:val="21"/>
              </w:rPr>
              <w:t>小时按需要给予</w:t>
            </w:r>
            <w:r>
              <w:rPr>
                <w:kern w:val="0"/>
                <w:sz w:val="20"/>
                <w:szCs w:val="21"/>
              </w:rPr>
              <w:t>1mg~2mg</w:t>
            </w:r>
            <w:r>
              <w:rPr>
                <w:rFonts w:hint="eastAsia"/>
                <w:kern w:val="0"/>
                <w:sz w:val="20"/>
                <w:szCs w:val="21"/>
              </w:rPr>
              <w:t>。根据临床条件，对于未使用过阿片类药物的患者起始剂量可以低一些。根据患者疼痛程度、不良事件的严重程度，以及患者年龄和潜在疾病情况，调整用药剂量。</w:t>
            </w:r>
          </w:p>
          <w:p>
            <w:pPr>
              <w:autoSpaceDE w:val="0"/>
              <w:autoSpaceDN w:val="0"/>
              <w:adjustRightInd w:val="0"/>
              <w:jc w:val="left"/>
              <w:rPr>
                <w:kern w:val="0"/>
                <w:sz w:val="20"/>
                <w:szCs w:val="21"/>
              </w:rPr>
            </w:pPr>
            <w:r>
              <w:rPr>
                <w:kern w:val="0"/>
                <w:sz w:val="20"/>
                <w:szCs w:val="21"/>
              </w:rPr>
              <w:t xml:space="preserve">2. </w:t>
            </w:r>
            <w:r>
              <w:rPr>
                <w:rFonts w:hint="eastAsia"/>
                <w:kern w:val="0"/>
                <w:sz w:val="20"/>
                <w:szCs w:val="21"/>
              </w:rPr>
              <w:t>静脉注射</w:t>
            </w:r>
          </w:p>
          <w:p>
            <w:pPr>
              <w:autoSpaceDE w:val="0"/>
              <w:autoSpaceDN w:val="0"/>
              <w:adjustRightInd w:val="0"/>
              <w:jc w:val="left"/>
              <w:rPr>
                <w:kern w:val="0"/>
                <w:sz w:val="20"/>
                <w:szCs w:val="21"/>
              </w:rPr>
            </w:pPr>
            <w:r>
              <w:rPr>
                <w:rFonts w:hint="eastAsia"/>
                <w:kern w:val="0"/>
                <w:sz w:val="20"/>
                <w:szCs w:val="21"/>
              </w:rPr>
              <w:t>起始剂量为每</w:t>
            </w:r>
            <w:r>
              <w:rPr>
                <w:kern w:val="0"/>
                <w:sz w:val="20"/>
                <w:szCs w:val="21"/>
              </w:rPr>
              <w:t>2~3</w:t>
            </w:r>
            <w:r>
              <w:rPr>
                <w:rFonts w:hint="eastAsia"/>
                <w:kern w:val="0"/>
                <w:sz w:val="20"/>
                <w:szCs w:val="21"/>
              </w:rPr>
              <w:t>小时</w:t>
            </w:r>
            <w:r>
              <w:rPr>
                <w:kern w:val="0"/>
                <w:sz w:val="20"/>
                <w:szCs w:val="21"/>
              </w:rPr>
              <w:t>0.2~1mg</w:t>
            </w:r>
            <w:r>
              <w:rPr>
                <w:rFonts w:hint="eastAsia"/>
                <w:kern w:val="0"/>
                <w:sz w:val="20"/>
                <w:szCs w:val="21"/>
              </w:rPr>
              <w:t>。需根据药物剂量缓慢静脉注射至少</w:t>
            </w:r>
            <w:r>
              <w:rPr>
                <w:kern w:val="0"/>
                <w:sz w:val="20"/>
                <w:szCs w:val="21"/>
              </w:rPr>
              <w:t>2~3</w:t>
            </w:r>
            <w:r>
              <w:rPr>
                <w:rFonts w:hint="eastAsia"/>
                <w:kern w:val="0"/>
                <w:sz w:val="20"/>
                <w:szCs w:val="21"/>
              </w:rPr>
              <w:t>分钟以上。通过滴定剂量达到镇痛程度和不良事件均可接受的程度。年老患者和身体虚弱的患者应相应降低起始剂量至</w:t>
            </w:r>
            <w:r>
              <w:rPr>
                <w:kern w:val="0"/>
                <w:sz w:val="20"/>
                <w:szCs w:val="21"/>
              </w:rPr>
              <w:t>0.2mg</w:t>
            </w:r>
            <w:r>
              <w:rPr>
                <w:rFonts w:hint="eastAsia"/>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合成的阿片类药物</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kern w:val="0"/>
                <w:sz w:val="20"/>
                <w:szCs w:val="21"/>
              </w:rPr>
            </w:pPr>
            <w:r>
              <w:rPr>
                <w:rFonts w:hint="eastAsia"/>
                <w:kern w:val="0"/>
                <w:sz w:val="20"/>
                <w:szCs w:val="21"/>
              </w:rPr>
              <w:t>芬太尼</w:t>
            </w: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芬太尼透皮贴剂</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初始剂量应根据患者目前使用阿片类药物剂量而定，建议用于阿片耐受患者。每</w:t>
            </w:r>
            <w:r>
              <w:rPr>
                <w:kern w:val="0"/>
                <w:sz w:val="20"/>
                <w:szCs w:val="21"/>
              </w:rPr>
              <w:t>72</w:t>
            </w:r>
            <w:r>
              <w:rPr>
                <w:rFonts w:hint="eastAsia"/>
                <w:kern w:val="0"/>
                <w:sz w:val="20"/>
                <w:szCs w:val="21"/>
              </w:rPr>
              <w:t>小时更换一次。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kern w:val="0"/>
                <w:sz w:val="20"/>
                <w:szCs w:val="21"/>
              </w:rPr>
            </w:pPr>
            <w:r>
              <w:rPr>
                <w:rFonts w:hint="eastAsia"/>
                <w:kern w:val="0"/>
                <w:sz w:val="20"/>
                <w:szCs w:val="21"/>
              </w:rPr>
              <w:t>美沙酮</w:t>
            </w: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盐酸美沙酮片</w:t>
            </w:r>
          </w:p>
        </w:tc>
        <w:tc>
          <w:tcPr>
            <w:tcW w:w="66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kern w:val="0"/>
                <w:sz w:val="20"/>
                <w:szCs w:val="21"/>
              </w:rPr>
            </w:pPr>
            <w:r>
              <w:rPr>
                <w:rFonts w:hint="eastAsia"/>
                <w:kern w:val="0"/>
                <w:sz w:val="20"/>
                <w:szCs w:val="21"/>
              </w:rPr>
              <w:t>口服。一般起始剂量成人一次</w:t>
            </w:r>
            <w:r>
              <w:rPr>
                <w:kern w:val="0"/>
                <w:sz w:val="20"/>
                <w:szCs w:val="21"/>
              </w:rPr>
              <w:t>5~10mg</w:t>
            </w:r>
            <w:r>
              <w:rPr>
                <w:rFonts w:hint="eastAsia"/>
                <w:kern w:val="0"/>
                <w:sz w:val="20"/>
                <w:szCs w:val="21"/>
              </w:rPr>
              <w:t>，对慢性疼痛患者，随着用药时间延长和耐受的形成，应逐渐增加剂量以达有效镇痛效果，或遵医嘱。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3" w:hRule="atLeast"/>
        </w:trPr>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含阿片类药物的复方制剂</w:t>
            </w:r>
          </w:p>
        </w:tc>
        <w:tc>
          <w:tcPr>
            <w:tcW w:w="1135"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对乙酰氨基酚和羟考酮</w:t>
            </w: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氨酚羟考酮片</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口服给药。成人常规剂量为每</w:t>
            </w:r>
            <w:r>
              <w:rPr>
                <w:kern w:val="0"/>
                <w:sz w:val="20"/>
                <w:szCs w:val="21"/>
              </w:rPr>
              <w:t>6</w:t>
            </w:r>
            <w:r>
              <w:rPr>
                <w:rFonts w:hint="eastAsia"/>
                <w:kern w:val="0"/>
                <w:sz w:val="20"/>
                <w:szCs w:val="21"/>
              </w:rPr>
              <w:t>小时服用一片，可根据疼痛程度和给药后反应来调整剂量。对于重度疼痛的患者或对阿片类镇痛药产生耐受性的患者，必要时可超过推荐剂量给药。</w:t>
            </w:r>
          </w:p>
          <w:p>
            <w:pPr>
              <w:jc w:val="left"/>
              <w:rPr>
                <w:kern w:val="0"/>
                <w:sz w:val="20"/>
                <w:szCs w:val="21"/>
              </w:rPr>
            </w:pPr>
            <w:r>
              <w:rPr>
                <w:rFonts w:hint="eastAsia"/>
                <w:kern w:val="0"/>
                <w:sz w:val="20"/>
                <w:szCs w:val="21"/>
              </w:rPr>
              <w:t>对乙酰氨基酚的用量不宜大于</w:t>
            </w:r>
            <w:r>
              <w:rPr>
                <w:kern w:val="0"/>
                <w:sz w:val="20"/>
                <w:szCs w:val="21"/>
              </w:rPr>
              <w:t>1.5g/</w:t>
            </w:r>
            <w:r>
              <w:rPr>
                <w:rFonts w:hint="eastAsia"/>
                <w:kern w:val="0"/>
                <w:sz w:val="20"/>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对乙酰氨基酚和可待因</w:t>
            </w: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氨酚待因片</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口服：成人，</w:t>
            </w:r>
            <w:r>
              <w:rPr>
                <w:kern w:val="0"/>
                <w:sz w:val="20"/>
                <w:szCs w:val="21"/>
              </w:rPr>
              <w:t>1</w:t>
            </w:r>
            <w:r>
              <w:rPr>
                <w:rFonts w:hint="eastAsia"/>
                <w:kern w:val="0"/>
                <w:sz w:val="20"/>
                <w:szCs w:val="21"/>
              </w:rPr>
              <w:t>次</w:t>
            </w:r>
            <w:r>
              <w:rPr>
                <w:kern w:val="0"/>
                <w:sz w:val="20"/>
                <w:szCs w:val="21"/>
              </w:rPr>
              <w:t>1</w:t>
            </w:r>
            <w:r>
              <w:rPr>
                <w:rFonts w:hint="eastAsia"/>
                <w:kern w:val="0"/>
                <w:sz w:val="20"/>
                <w:szCs w:val="21"/>
              </w:rPr>
              <w:t>片，</w:t>
            </w:r>
            <w:r>
              <w:rPr>
                <w:kern w:val="0"/>
                <w:sz w:val="20"/>
                <w:szCs w:val="21"/>
              </w:rPr>
              <w:t>1</w:t>
            </w:r>
            <w:r>
              <w:rPr>
                <w:rFonts w:hint="eastAsia"/>
                <w:kern w:val="0"/>
                <w:sz w:val="20"/>
                <w:szCs w:val="21"/>
              </w:rPr>
              <w:t>日</w:t>
            </w:r>
            <w:r>
              <w:rPr>
                <w:kern w:val="0"/>
                <w:sz w:val="20"/>
                <w:szCs w:val="21"/>
              </w:rPr>
              <w:t>3</w:t>
            </w:r>
            <w:r>
              <w:rPr>
                <w:rFonts w:hint="eastAsia"/>
                <w:kern w:val="0"/>
                <w:sz w:val="20"/>
                <w:szCs w:val="21"/>
              </w:rPr>
              <w:t>次，中度癌症疼痛必要时可由医生决定适当增加。</w:t>
            </w:r>
          </w:p>
          <w:p>
            <w:pPr>
              <w:jc w:val="left"/>
              <w:rPr>
                <w:kern w:val="0"/>
                <w:sz w:val="20"/>
                <w:szCs w:val="21"/>
              </w:rPr>
            </w:pPr>
            <w:r>
              <w:rPr>
                <w:rFonts w:hint="eastAsia"/>
                <w:kern w:val="0"/>
                <w:sz w:val="20"/>
                <w:szCs w:val="21"/>
              </w:rPr>
              <w:t>对乙酰氨基酚的用量不宜大于</w:t>
            </w:r>
            <w:r>
              <w:rPr>
                <w:kern w:val="0"/>
                <w:sz w:val="20"/>
                <w:szCs w:val="21"/>
              </w:rPr>
              <w:t>1.5g/</w:t>
            </w:r>
            <w:r>
              <w:rPr>
                <w:rFonts w:hint="eastAsia"/>
                <w:kern w:val="0"/>
                <w:sz w:val="20"/>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restart"/>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曲马多</w:t>
            </w:r>
          </w:p>
        </w:tc>
        <w:tc>
          <w:tcPr>
            <w:tcW w:w="1135" w:type="dxa"/>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20"/>
                <w:szCs w:val="21"/>
              </w:rPr>
            </w:pPr>
            <w:r>
              <w:rPr>
                <w:rFonts w:hint="eastAsia"/>
                <w:kern w:val="0"/>
                <w:sz w:val="20"/>
                <w:szCs w:val="21"/>
              </w:rPr>
              <w:t>曲马多</w:t>
            </w: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盐酸曲马多片</w:t>
            </w:r>
            <w:r>
              <w:rPr>
                <w:kern w:val="0"/>
                <w:sz w:val="20"/>
                <w:szCs w:val="21"/>
              </w:rPr>
              <w:t>/</w:t>
            </w:r>
            <w:r>
              <w:rPr>
                <w:rFonts w:hint="eastAsia"/>
                <w:kern w:val="0"/>
                <w:sz w:val="20"/>
                <w:szCs w:val="21"/>
              </w:rPr>
              <w:t>胶囊</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盐酸曲马多片：口服，一次</w:t>
            </w:r>
            <w:r>
              <w:rPr>
                <w:kern w:val="0"/>
                <w:sz w:val="20"/>
                <w:szCs w:val="21"/>
              </w:rPr>
              <w:t>50~100mg(1~2</w:t>
            </w:r>
            <w:r>
              <w:rPr>
                <w:rFonts w:hint="eastAsia"/>
                <w:kern w:val="0"/>
                <w:sz w:val="20"/>
                <w:szCs w:val="21"/>
              </w:rPr>
              <w:t>片</w:t>
            </w:r>
            <w:r>
              <w:rPr>
                <w:kern w:val="0"/>
                <w:sz w:val="20"/>
                <w:szCs w:val="21"/>
              </w:rPr>
              <w:t>)</w:t>
            </w:r>
            <w:r>
              <w:rPr>
                <w:rFonts w:hint="eastAsia"/>
                <w:kern w:val="0"/>
                <w:sz w:val="20"/>
                <w:szCs w:val="21"/>
              </w:rPr>
              <w:t>，必要时可重复给药。日剂量不超过</w:t>
            </w:r>
            <w:r>
              <w:rPr>
                <w:kern w:val="0"/>
                <w:sz w:val="20"/>
                <w:szCs w:val="21"/>
              </w:rPr>
              <w:t>400mg(8</w:t>
            </w:r>
            <w:r>
              <w:rPr>
                <w:rFonts w:hint="eastAsia"/>
                <w:kern w:val="0"/>
                <w:sz w:val="20"/>
                <w:szCs w:val="21"/>
              </w:rPr>
              <w:t>片</w:t>
            </w:r>
            <w:r>
              <w:rPr>
                <w:kern w:val="0"/>
                <w:sz w:val="20"/>
                <w:szCs w:val="21"/>
              </w:rPr>
              <w:t>)</w:t>
            </w:r>
            <w:r>
              <w:rPr>
                <w:rFonts w:hint="eastAsia"/>
                <w:kern w:val="0"/>
                <w:sz w:val="20"/>
                <w:szCs w:val="21"/>
              </w:rPr>
              <w:t>。</w:t>
            </w:r>
          </w:p>
          <w:p>
            <w:pPr>
              <w:jc w:val="left"/>
              <w:rPr>
                <w:kern w:val="0"/>
                <w:sz w:val="20"/>
                <w:szCs w:val="21"/>
              </w:rPr>
            </w:pPr>
            <w:r>
              <w:rPr>
                <w:rFonts w:hint="eastAsia"/>
                <w:kern w:val="0"/>
                <w:sz w:val="20"/>
                <w:szCs w:val="21"/>
              </w:rPr>
              <w:t>盐酸曲马多胶囊：单次剂量：</w:t>
            </w:r>
            <w:r>
              <w:rPr>
                <w:kern w:val="0"/>
                <w:sz w:val="20"/>
                <w:szCs w:val="21"/>
              </w:rPr>
              <w:t xml:space="preserve">1~2 </w:t>
            </w:r>
            <w:r>
              <w:rPr>
                <w:rFonts w:hint="eastAsia"/>
                <w:kern w:val="0"/>
                <w:sz w:val="20"/>
                <w:szCs w:val="21"/>
              </w:rPr>
              <w:t>个胶囊就少量水服用（</w:t>
            </w:r>
            <w:r>
              <w:rPr>
                <w:kern w:val="0"/>
                <w:sz w:val="20"/>
                <w:szCs w:val="21"/>
              </w:rPr>
              <w:t xml:space="preserve">50~100 mg </w:t>
            </w:r>
            <w:r>
              <w:rPr>
                <w:rFonts w:hint="eastAsia"/>
                <w:kern w:val="0"/>
                <w:sz w:val="20"/>
                <w:szCs w:val="21"/>
              </w:rPr>
              <w:t>盐酸曲马多）。</w:t>
            </w:r>
            <w:r>
              <w:rPr>
                <w:kern w:val="0"/>
                <w:sz w:val="20"/>
                <w:szCs w:val="21"/>
              </w:rPr>
              <w:t xml:space="preserve"> </w:t>
            </w:r>
            <w:r>
              <w:rPr>
                <w:rFonts w:hint="eastAsia"/>
                <w:kern w:val="0"/>
                <w:sz w:val="20"/>
                <w:szCs w:val="21"/>
              </w:rPr>
              <w:t>如果镇痛不满意，</w:t>
            </w:r>
            <w:r>
              <w:rPr>
                <w:kern w:val="0"/>
                <w:sz w:val="20"/>
                <w:szCs w:val="21"/>
              </w:rPr>
              <w:t xml:space="preserve">30~60 </w:t>
            </w:r>
            <w:r>
              <w:rPr>
                <w:rFonts w:hint="eastAsia"/>
                <w:kern w:val="0"/>
                <w:sz w:val="20"/>
                <w:szCs w:val="21"/>
              </w:rPr>
              <w:t>分钟以后可再给予</w:t>
            </w:r>
            <w:r>
              <w:rPr>
                <w:kern w:val="0"/>
                <w:sz w:val="20"/>
                <w:szCs w:val="21"/>
              </w:rPr>
              <w:t>1</w:t>
            </w:r>
            <w:r>
              <w:rPr>
                <w:rFonts w:hint="eastAsia"/>
                <w:kern w:val="0"/>
                <w:sz w:val="20"/>
                <w:szCs w:val="21"/>
              </w:rPr>
              <w:t>个胶囊。如果疼痛较剧烈，镇痛要求较高，应给予较高的初始剂量（</w:t>
            </w:r>
            <w:r>
              <w:rPr>
                <w:kern w:val="0"/>
                <w:sz w:val="20"/>
                <w:szCs w:val="21"/>
              </w:rPr>
              <w:t>2</w:t>
            </w:r>
            <w:r>
              <w:rPr>
                <w:rFonts w:hint="eastAsia"/>
                <w:kern w:val="0"/>
                <w:sz w:val="20"/>
                <w:szCs w:val="21"/>
              </w:rPr>
              <w:t>个胶囊）。每日剂量：一般情况下每日本品总量</w:t>
            </w:r>
            <w:r>
              <w:rPr>
                <w:kern w:val="0"/>
                <w:sz w:val="20"/>
                <w:szCs w:val="21"/>
              </w:rPr>
              <w:t xml:space="preserve"> 400 mg (8</w:t>
            </w:r>
            <w:r>
              <w:rPr>
                <w:rFonts w:hint="eastAsia"/>
                <w:kern w:val="0"/>
                <w:sz w:val="20"/>
                <w:szCs w:val="21"/>
              </w:rPr>
              <w:t>个胶囊</w:t>
            </w:r>
            <w:r>
              <w:rPr>
                <w:kern w:val="0"/>
                <w:sz w:val="20"/>
                <w:szCs w:val="21"/>
              </w:rPr>
              <w:t>)</w:t>
            </w:r>
            <w:r>
              <w:rPr>
                <w:rFonts w:hint="eastAsia"/>
                <w:kern w:val="0"/>
                <w:sz w:val="20"/>
                <w:szCs w:val="21"/>
              </w:rPr>
              <w:t>已足够，但在治疗癌性疼痛和重度术后疼痛时，可使用更高的日剂量。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盐酸曲马多缓释片</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本品应用足量水吞服，不要嚼碎。药片中间有刻痕，可根据剂量需要掰开服用。本品用量视疼痛程度和个人敏感性而定。成人和大于</w:t>
            </w:r>
            <w:r>
              <w:rPr>
                <w:kern w:val="0"/>
                <w:sz w:val="20"/>
                <w:szCs w:val="21"/>
              </w:rPr>
              <w:t>12</w:t>
            </w:r>
            <w:r>
              <w:rPr>
                <w:rFonts w:hint="eastAsia"/>
                <w:kern w:val="0"/>
                <w:sz w:val="20"/>
                <w:szCs w:val="21"/>
              </w:rPr>
              <w:t>岁的青少年：通常初始剂量为</w:t>
            </w:r>
            <w:r>
              <w:rPr>
                <w:kern w:val="0"/>
                <w:sz w:val="20"/>
                <w:szCs w:val="21"/>
              </w:rPr>
              <w:t>50~100mg</w:t>
            </w:r>
            <w:r>
              <w:rPr>
                <w:rFonts w:hint="eastAsia"/>
                <w:kern w:val="0"/>
                <w:sz w:val="20"/>
                <w:szCs w:val="21"/>
              </w:rPr>
              <w:t>，每日早晚各一次，如果止痛不满意，剂量可增加到</w:t>
            </w:r>
            <w:r>
              <w:rPr>
                <w:kern w:val="0"/>
                <w:sz w:val="20"/>
                <w:szCs w:val="21"/>
              </w:rPr>
              <w:t>150~200mg</w:t>
            </w:r>
            <w:r>
              <w:rPr>
                <w:rFonts w:hint="eastAsia"/>
                <w:kern w:val="0"/>
                <w:sz w:val="20"/>
                <w:szCs w:val="21"/>
              </w:rPr>
              <w:t>，每日两次。除特殊情况外，每日剂量不应超过</w:t>
            </w:r>
            <w:r>
              <w:rPr>
                <w:kern w:val="0"/>
                <w:sz w:val="20"/>
                <w:szCs w:val="21"/>
              </w:rPr>
              <w:t>400mg</w:t>
            </w:r>
            <w:r>
              <w:rPr>
                <w:rFonts w:hint="eastAsia"/>
                <w:kern w:val="0"/>
                <w:sz w:val="20"/>
                <w:szCs w:val="21"/>
              </w:rPr>
              <w:t>。两次服药的间隔不得少于</w:t>
            </w:r>
            <w:r>
              <w:rPr>
                <w:kern w:val="0"/>
                <w:sz w:val="20"/>
                <w:szCs w:val="21"/>
              </w:rPr>
              <w:t>8</w:t>
            </w:r>
            <w:r>
              <w:rPr>
                <w:rFonts w:hint="eastAsia"/>
                <w:kern w:val="0"/>
                <w:sz w:val="20"/>
                <w:szCs w:val="21"/>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盐酸曲马多注射液</w:t>
            </w:r>
          </w:p>
        </w:tc>
        <w:tc>
          <w:tcPr>
            <w:tcW w:w="6663" w:type="dxa"/>
            <w:tcBorders>
              <w:top w:val="single" w:color="auto" w:sz="4" w:space="0"/>
              <w:left w:val="single" w:color="auto" w:sz="4" w:space="0"/>
              <w:bottom w:val="single" w:color="auto" w:sz="4" w:space="0"/>
              <w:right w:val="single" w:color="auto" w:sz="4" w:space="0"/>
            </w:tcBorders>
            <w:vAlign w:val="center"/>
          </w:tcPr>
          <w:p>
            <w:pPr>
              <w:jc w:val="left"/>
              <w:rPr>
                <w:kern w:val="0"/>
                <w:sz w:val="20"/>
                <w:szCs w:val="21"/>
              </w:rPr>
            </w:pPr>
            <w:r>
              <w:rPr>
                <w:rFonts w:hint="eastAsia"/>
                <w:kern w:val="0"/>
                <w:sz w:val="20"/>
                <w:szCs w:val="21"/>
              </w:rPr>
              <w:t>成人及</w:t>
            </w:r>
            <w:r>
              <w:rPr>
                <w:kern w:val="0"/>
                <w:sz w:val="20"/>
                <w:szCs w:val="21"/>
              </w:rPr>
              <w:t>12</w:t>
            </w:r>
            <w:r>
              <w:rPr>
                <w:rFonts w:hint="eastAsia"/>
                <w:kern w:val="0"/>
                <w:sz w:val="20"/>
                <w:szCs w:val="21"/>
              </w:rPr>
              <w:t>岁以上者：</w:t>
            </w:r>
          </w:p>
          <w:p>
            <w:pPr>
              <w:jc w:val="left"/>
              <w:rPr>
                <w:kern w:val="0"/>
                <w:sz w:val="20"/>
                <w:szCs w:val="21"/>
              </w:rPr>
            </w:pPr>
            <w:r>
              <w:rPr>
                <w:rFonts w:hint="eastAsia"/>
                <w:kern w:val="0"/>
                <w:sz w:val="20"/>
                <w:szCs w:val="21"/>
              </w:rPr>
              <w:t>单次剂量：静脉（缓慢注射或稀释于输液中滴注）、肌肉、皮下注射：一次</w:t>
            </w:r>
            <w:r>
              <w:rPr>
                <w:kern w:val="0"/>
                <w:sz w:val="20"/>
                <w:szCs w:val="21"/>
              </w:rPr>
              <w:t>50~100mg</w:t>
            </w:r>
            <w:r>
              <w:rPr>
                <w:rFonts w:hint="eastAsia"/>
                <w:kern w:val="0"/>
                <w:sz w:val="20"/>
                <w:szCs w:val="21"/>
              </w:rPr>
              <w:t>，一般情况下每日本品总量</w:t>
            </w:r>
            <w:r>
              <w:rPr>
                <w:kern w:val="0"/>
                <w:sz w:val="20"/>
                <w:szCs w:val="21"/>
              </w:rPr>
              <w:t>400mg</w:t>
            </w:r>
            <w:r>
              <w:rPr>
                <w:rFonts w:hint="eastAsia"/>
                <w:kern w:val="0"/>
                <w:sz w:val="20"/>
                <w:szCs w:val="21"/>
              </w:rPr>
              <w:t>已足够，但在治疗癌性疼痛和重度术后痛时，可使用更高的日剂量。</w:t>
            </w:r>
          </w:p>
        </w:tc>
      </w:tr>
    </w:tbl>
    <w:p>
      <w:pPr>
        <w:rPr>
          <w:rFonts w:hint="eastAsia" w:ascii="宋体" w:hAnsi="宋体" w:cs="Calibri"/>
          <w:sz w:val="20"/>
          <w:szCs w:val="21"/>
        </w:rPr>
      </w:pPr>
    </w:p>
    <w:p>
      <w:pPr>
        <w:rPr>
          <w:rFonts w:hint="eastAsia" w:ascii="宋体" w:hAnsi="宋体" w:cs="Calibri"/>
          <w:sz w:val="20"/>
          <w:szCs w:val="21"/>
        </w:rPr>
      </w:pPr>
    </w:p>
    <w:p>
      <w:pPr>
        <w:rPr>
          <w:rFonts w:hint="eastAsia" w:ascii="宋体" w:hAnsi="宋体" w:cs="Calibri"/>
          <w:sz w:val="20"/>
          <w:szCs w:val="21"/>
        </w:rPr>
      </w:pPr>
    </w:p>
    <w:p>
      <w:pPr>
        <w:rPr>
          <w:rFonts w:hint="eastAsia" w:ascii="宋体" w:hAnsi="宋体" w:cs="Calibri"/>
          <w:sz w:val="20"/>
          <w:szCs w:val="21"/>
        </w:rPr>
      </w:pPr>
    </w:p>
    <w:p>
      <w:pPr>
        <w:rPr>
          <w:rFonts w:hint="eastAsia" w:ascii="宋体" w:hAnsi="宋体" w:cs="Calibri"/>
          <w:sz w:val="20"/>
          <w:szCs w:val="21"/>
        </w:rPr>
      </w:pPr>
    </w:p>
    <w:p>
      <w:pPr>
        <w:rPr>
          <w:rFonts w:hint="eastAsia" w:ascii="宋体" w:hAnsi="宋体" w:cs="Calibri"/>
          <w:sz w:val="20"/>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F57333"/>
    <w:multiLevelType w:val="singleLevel"/>
    <w:tmpl w:val="8DF57333"/>
    <w:lvl w:ilvl="0" w:tentative="0">
      <w:start w:val="1"/>
      <w:numFmt w:val="decimal"/>
      <w:lvlText w:val="%1."/>
      <w:lvlJc w:val="left"/>
      <w:pPr>
        <w:tabs>
          <w:tab w:val="left"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58A"/>
    <w:rsid w:val="00001806"/>
    <w:rsid w:val="000159F7"/>
    <w:rsid w:val="00017A4F"/>
    <w:rsid w:val="00021E70"/>
    <w:rsid w:val="00034DA0"/>
    <w:rsid w:val="000423F4"/>
    <w:rsid w:val="0004292E"/>
    <w:rsid w:val="0005249D"/>
    <w:rsid w:val="00062926"/>
    <w:rsid w:val="00063CDA"/>
    <w:rsid w:val="00072A02"/>
    <w:rsid w:val="0007660F"/>
    <w:rsid w:val="0009376B"/>
    <w:rsid w:val="0009480E"/>
    <w:rsid w:val="00096EC9"/>
    <w:rsid w:val="000A5F13"/>
    <w:rsid w:val="000B5F09"/>
    <w:rsid w:val="000D4A86"/>
    <w:rsid w:val="000D4E6C"/>
    <w:rsid w:val="000D5B18"/>
    <w:rsid w:val="000E19B0"/>
    <w:rsid w:val="000E5EE6"/>
    <w:rsid w:val="0010538D"/>
    <w:rsid w:val="001111CB"/>
    <w:rsid w:val="00120437"/>
    <w:rsid w:val="0012507D"/>
    <w:rsid w:val="00125FE9"/>
    <w:rsid w:val="00132BD1"/>
    <w:rsid w:val="00143656"/>
    <w:rsid w:val="00143710"/>
    <w:rsid w:val="00155CBF"/>
    <w:rsid w:val="00157624"/>
    <w:rsid w:val="00166FD0"/>
    <w:rsid w:val="001677F6"/>
    <w:rsid w:val="00171196"/>
    <w:rsid w:val="00171EA6"/>
    <w:rsid w:val="001728B4"/>
    <w:rsid w:val="0019143A"/>
    <w:rsid w:val="00197B36"/>
    <w:rsid w:val="001A1B26"/>
    <w:rsid w:val="001A3FE7"/>
    <w:rsid w:val="001A5233"/>
    <w:rsid w:val="001A7758"/>
    <w:rsid w:val="001B3845"/>
    <w:rsid w:val="001C3EA7"/>
    <w:rsid w:val="001C4048"/>
    <w:rsid w:val="001C5041"/>
    <w:rsid w:val="001D0CD0"/>
    <w:rsid w:val="001D3062"/>
    <w:rsid w:val="001D33D3"/>
    <w:rsid w:val="001E05BF"/>
    <w:rsid w:val="001E222A"/>
    <w:rsid w:val="001E238A"/>
    <w:rsid w:val="001E40B4"/>
    <w:rsid w:val="001E6A9F"/>
    <w:rsid w:val="001E7D41"/>
    <w:rsid w:val="001F0CBD"/>
    <w:rsid w:val="001F663E"/>
    <w:rsid w:val="00202C6E"/>
    <w:rsid w:val="00205B87"/>
    <w:rsid w:val="002061F6"/>
    <w:rsid w:val="0022063B"/>
    <w:rsid w:val="00220D9F"/>
    <w:rsid w:val="002227FE"/>
    <w:rsid w:val="00230267"/>
    <w:rsid w:val="00244472"/>
    <w:rsid w:val="00244560"/>
    <w:rsid w:val="00245D6D"/>
    <w:rsid w:val="00251EF1"/>
    <w:rsid w:val="00255E79"/>
    <w:rsid w:val="00274267"/>
    <w:rsid w:val="0028083A"/>
    <w:rsid w:val="00281E91"/>
    <w:rsid w:val="00287EBD"/>
    <w:rsid w:val="00292D33"/>
    <w:rsid w:val="0029578A"/>
    <w:rsid w:val="002957D7"/>
    <w:rsid w:val="002967E7"/>
    <w:rsid w:val="002A1348"/>
    <w:rsid w:val="002A156E"/>
    <w:rsid w:val="002A285E"/>
    <w:rsid w:val="002A4E1F"/>
    <w:rsid w:val="002C1E29"/>
    <w:rsid w:val="002D4FF3"/>
    <w:rsid w:val="002E0825"/>
    <w:rsid w:val="002E411D"/>
    <w:rsid w:val="002F60BB"/>
    <w:rsid w:val="0030018D"/>
    <w:rsid w:val="00301E3C"/>
    <w:rsid w:val="0030700E"/>
    <w:rsid w:val="00313016"/>
    <w:rsid w:val="00321D34"/>
    <w:rsid w:val="00325067"/>
    <w:rsid w:val="00332CD9"/>
    <w:rsid w:val="00333F82"/>
    <w:rsid w:val="00347150"/>
    <w:rsid w:val="00354B7C"/>
    <w:rsid w:val="00360748"/>
    <w:rsid w:val="00371C84"/>
    <w:rsid w:val="00376289"/>
    <w:rsid w:val="00382FED"/>
    <w:rsid w:val="003841DD"/>
    <w:rsid w:val="00393007"/>
    <w:rsid w:val="00397DB5"/>
    <w:rsid w:val="003A0FC2"/>
    <w:rsid w:val="003A5771"/>
    <w:rsid w:val="003B5047"/>
    <w:rsid w:val="003C2AC1"/>
    <w:rsid w:val="003D294E"/>
    <w:rsid w:val="003D3AC2"/>
    <w:rsid w:val="003F1709"/>
    <w:rsid w:val="003F1EC2"/>
    <w:rsid w:val="003F20FC"/>
    <w:rsid w:val="003F3593"/>
    <w:rsid w:val="003F7990"/>
    <w:rsid w:val="0044409F"/>
    <w:rsid w:val="004623A3"/>
    <w:rsid w:val="004728A3"/>
    <w:rsid w:val="00487F4E"/>
    <w:rsid w:val="0049092D"/>
    <w:rsid w:val="00492B32"/>
    <w:rsid w:val="00497140"/>
    <w:rsid w:val="004A0052"/>
    <w:rsid w:val="004B7148"/>
    <w:rsid w:val="004C31F7"/>
    <w:rsid w:val="004D3EBB"/>
    <w:rsid w:val="004E078E"/>
    <w:rsid w:val="004F308D"/>
    <w:rsid w:val="004F623E"/>
    <w:rsid w:val="00503400"/>
    <w:rsid w:val="005143A6"/>
    <w:rsid w:val="00527FFB"/>
    <w:rsid w:val="0053357F"/>
    <w:rsid w:val="00534D32"/>
    <w:rsid w:val="00534F5D"/>
    <w:rsid w:val="0053548F"/>
    <w:rsid w:val="005408D3"/>
    <w:rsid w:val="00544F37"/>
    <w:rsid w:val="00546D01"/>
    <w:rsid w:val="00560AA2"/>
    <w:rsid w:val="00567D51"/>
    <w:rsid w:val="005724B6"/>
    <w:rsid w:val="0057573F"/>
    <w:rsid w:val="00581C6D"/>
    <w:rsid w:val="00585255"/>
    <w:rsid w:val="0058718D"/>
    <w:rsid w:val="00587FD3"/>
    <w:rsid w:val="00590129"/>
    <w:rsid w:val="00596889"/>
    <w:rsid w:val="005A0B0D"/>
    <w:rsid w:val="005A153E"/>
    <w:rsid w:val="005A3E55"/>
    <w:rsid w:val="005A4051"/>
    <w:rsid w:val="005B4136"/>
    <w:rsid w:val="005B71B0"/>
    <w:rsid w:val="005C0B60"/>
    <w:rsid w:val="005C164F"/>
    <w:rsid w:val="005C4DE2"/>
    <w:rsid w:val="005D23DF"/>
    <w:rsid w:val="005E55CC"/>
    <w:rsid w:val="00601CD7"/>
    <w:rsid w:val="0060403C"/>
    <w:rsid w:val="00633156"/>
    <w:rsid w:val="00633D49"/>
    <w:rsid w:val="00647F78"/>
    <w:rsid w:val="0065274A"/>
    <w:rsid w:val="00655EDF"/>
    <w:rsid w:val="0065688E"/>
    <w:rsid w:val="00657184"/>
    <w:rsid w:val="0066000D"/>
    <w:rsid w:val="00662BC4"/>
    <w:rsid w:val="006670F2"/>
    <w:rsid w:val="006710EA"/>
    <w:rsid w:val="00671ED6"/>
    <w:rsid w:val="00676FCA"/>
    <w:rsid w:val="00683392"/>
    <w:rsid w:val="00684EF8"/>
    <w:rsid w:val="006937C6"/>
    <w:rsid w:val="00695928"/>
    <w:rsid w:val="006B0AAD"/>
    <w:rsid w:val="006C0589"/>
    <w:rsid w:val="006C67F8"/>
    <w:rsid w:val="006E7D5B"/>
    <w:rsid w:val="006F1704"/>
    <w:rsid w:val="006F782C"/>
    <w:rsid w:val="00703769"/>
    <w:rsid w:val="0072494B"/>
    <w:rsid w:val="007275F2"/>
    <w:rsid w:val="007276E8"/>
    <w:rsid w:val="00734B67"/>
    <w:rsid w:val="0073536A"/>
    <w:rsid w:val="00742539"/>
    <w:rsid w:val="00743743"/>
    <w:rsid w:val="00747676"/>
    <w:rsid w:val="007646C9"/>
    <w:rsid w:val="007766A9"/>
    <w:rsid w:val="0078297A"/>
    <w:rsid w:val="007874E6"/>
    <w:rsid w:val="00790326"/>
    <w:rsid w:val="00791A43"/>
    <w:rsid w:val="007955F2"/>
    <w:rsid w:val="0079650F"/>
    <w:rsid w:val="007A41E4"/>
    <w:rsid w:val="007A7012"/>
    <w:rsid w:val="007B1CBA"/>
    <w:rsid w:val="007B399E"/>
    <w:rsid w:val="007B511D"/>
    <w:rsid w:val="007C059A"/>
    <w:rsid w:val="007C393D"/>
    <w:rsid w:val="007D7B48"/>
    <w:rsid w:val="007E026F"/>
    <w:rsid w:val="007F38FA"/>
    <w:rsid w:val="007F3F28"/>
    <w:rsid w:val="007F4F3F"/>
    <w:rsid w:val="007F77D3"/>
    <w:rsid w:val="008073F5"/>
    <w:rsid w:val="00810055"/>
    <w:rsid w:val="0081473F"/>
    <w:rsid w:val="00814892"/>
    <w:rsid w:val="0082122F"/>
    <w:rsid w:val="00831480"/>
    <w:rsid w:val="00831801"/>
    <w:rsid w:val="00854ED5"/>
    <w:rsid w:val="00857B49"/>
    <w:rsid w:val="00861D77"/>
    <w:rsid w:val="00861D8A"/>
    <w:rsid w:val="0086433E"/>
    <w:rsid w:val="00873197"/>
    <w:rsid w:val="0087460F"/>
    <w:rsid w:val="00880B17"/>
    <w:rsid w:val="008821BE"/>
    <w:rsid w:val="008904BA"/>
    <w:rsid w:val="00891AB7"/>
    <w:rsid w:val="008963F9"/>
    <w:rsid w:val="008A2E57"/>
    <w:rsid w:val="008A6EE2"/>
    <w:rsid w:val="008D6954"/>
    <w:rsid w:val="008E47BD"/>
    <w:rsid w:val="008E6289"/>
    <w:rsid w:val="008F6AE2"/>
    <w:rsid w:val="008F7731"/>
    <w:rsid w:val="00900F51"/>
    <w:rsid w:val="009147AA"/>
    <w:rsid w:val="0091656D"/>
    <w:rsid w:val="00916E37"/>
    <w:rsid w:val="00925DF5"/>
    <w:rsid w:val="00925E63"/>
    <w:rsid w:val="0092760F"/>
    <w:rsid w:val="009343C5"/>
    <w:rsid w:val="0093458B"/>
    <w:rsid w:val="00936A54"/>
    <w:rsid w:val="0094036F"/>
    <w:rsid w:val="009436B5"/>
    <w:rsid w:val="009452B7"/>
    <w:rsid w:val="00951E21"/>
    <w:rsid w:val="009540E7"/>
    <w:rsid w:val="0095696A"/>
    <w:rsid w:val="009623BE"/>
    <w:rsid w:val="00964975"/>
    <w:rsid w:val="00965346"/>
    <w:rsid w:val="00966902"/>
    <w:rsid w:val="00984444"/>
    <w:rsid w:val="009A5511"/>
    <w:rsid w:val="009B1872"/>
    <w:rsid w:val="009B2110"/>
    <w:rsid w:val="009B5752"/>
    <w:rsid w:val="009B75B2"/>
    <w:rsid w:val="009C2CA9"/>
    <w:rsid w:val="009C3EAA"/>
    <w:rsid w:val="009C6560"/>
    <w:rsid w:val="009F1835"/>
    <w:rsid w:val="009F5FBF"/>
    <w:rsid w:val="009F60FD"/>
    <w:rsid w:val="00A012FB"/>
    <w:rsid w:val="00A05EC5"/>
    <w:rsid w:val="00A07CB3"/>
    <w:rsid w:val="00A12CE1"/>
    <w:rsid w:val="00A16D23"/>
    <w:rsid w:val="00A16E55"/>
    <w:rsid w:val="00A23091"/>
    <w:rsid w:val="00A23A9F"/>
    <w:rsid w:val="00A24F1C"/>
    <w:rsid w:val="00A26FD5"/>
    <w:rsid w:val="00A335BD"/>
    <w:rsid w:val="00A358D6"/>
    <w:rsid w:val="00A37A01"/>
    <w:rsid w:val="00A43169"/>
    <w:rsid w:val="00A473A3"/>
    <w:rsid w:val="00A53C8F"/>
    <w:rsid w:val="00A55912"/>
    <w:rsid w:val="00A61CC8"/>
    <w:rsid w:val="00A64B2B"/>
    <w:rsid w:val="00A72F64"/>
    <w:rsid w:val="00A763FA"/>
    <w:rsid w:val="00A83049"/>
    <w:rsid w:val="00A85F37"/>
    <w:rsid w:val="00A870FC"/>
    <w:rsid w:val="00AA310B"/>
    <w:rsid w:val="00AA3DDA"/>
    <w:rsid w:val="00AA5448"/>
    <w:rsid w:val="00AB16AF"/>
    <w:rsid w:val="00AB2139"/>
    <w:rsid w:val="00AB2C70"/>
    <w:rsid w:val="00AB41AD"/>
    <w:rsid w:val="00AB7625"/>
    <w:rsid w:val="00AB7F4F"/>
    <w:rsid w:val="00AC61EC"/>
    <w:rsid w:val="00AC6CC4"/>
    <w:rsid w:val="00AD52C9"/>
    <w:rsid w:val="00AD5C62"/>
    <w:rsid w:val="00AE3AB8"/>
    <w:rsid w:val="00AF1F3B"/>
    <w:rsid w:val="00AF6FF7"/>
    <w:rsid w:val="00B03A10"/>
    <w:rsid w:val="00B06731"/>
    <w:rsid w:val="00B11439"/>
    <w:rsid w:val="00B134E3"/>
    <w:rsid w:val="00B208F7"/>
    <w:rsid w:val="00B2158C"/>
    <w:rsid w:val="00B41B4B"/>
    <w:rsid w:val="00B42CEC"/>
    <w:rsid w:val="00B5584D"/>
    <w:rsid w:val="00B617CE"/>
    <w:rsid w:val="00B65DD6"/>
    <w:rsid w:val="00B721CB"/>
    <w:rsid w:val="00B7405C"/>
    <w:rsid w:val="00B75536"/>
    <w:rsid w:val="00B80246"/>
    <w:rsid w:val="00B80C17"/>
    <w:rsid w:val="00B81A35"/>
    <w:rsid w:val="00B92005"/>
    <w:rsid w:val="00B92FB9"/>
    <w:rsid w:val="00B95C31"/>
    <w:rsid w:val="00B971E9"/>
    <w:rsid w:val="00B973ED"/>
    <w:rsid w:val="00BA2873"/>
    <w:rsid w:val="00BA4377"/>
    <w:rsid w:val="00BB4BF9"/>
    <w:rsid w:val="00BB6746"/>
    <w:rsid w:val="00BB7D27"/>
    <w:rsid w:val="00BC1CB3"/>
    <w:rsid w:val="00BD21BF"/>
    <w:rsid w:val="00BD3F94"/>
    <w:rsid w:val="00BD6ED6"/>
    <w:rsid w:val="00BE0945"/>
    <w:rsid w:val="00BF257F"/>
    <w:rsid w:val="00BF29DF"/>
    <w:rsid w:val="00C03E98"/>
    <w:rsid w:val="00C07D41"/>
    <w:rsid w:val="00C11D81"/>
    <w:rsid w:val="00C24C15"/>
    <w:rsid w:val="00C338B2"/>
    <w:rsid w:val="00C34C38"/>
    <w:rsid w:val="00C3572F"/>
    <w:rsid w:val="00C438B7"/>
    <w:rsid w:val="00C465B1"/>
    <w:rsid w:val="00C4705D"/>
    <w:rsid w:val="00C7050B"/>
    <w:rsid w:val="00C714A7"/>
    <w:rsid w:val="00C75E10"/>
    <w:rsid w:val="00C77256"/>
    <w:rsid w:val="00C8283E"/>
    <w:rsid w:val="00C866EE"/>
    <w:rsid w:val="00C901BD"/>
    <w:rsid w:val="00C9415D"/>
    <w:rsid w:val="00C957BE"/>
    <w:rsid w:val="00CC4468"/>
    <w:rsid w:val="00CD7211"/>
    <w:rsid w:val="00CE2139"/>
    <w:rsid w:val="00CE36FC"/>
    <w:rsid w:val="00CE40A3"/>
    <w:rsid w:val="00CF47FA"/>
    <w:rsid w:val="00CF5BC3"/>
    <w:rsid w:val="00D04CF5"/>
    <w:rsid w:val="00D10755"/>
    <w:rsid w:val="00D1225D"/>
    <w:rsid w:val="00D15510"/>
    <w:rsid w:val="00D24CC6"/>
    <w:rsid w:val="00D25BD4"/>
    <w:rsid w:val="00D41B91"/>
    <w:rsid w:val="00D4358A"/>
    <w:rsid w:val="00D4414A"/>
    <w:rsid w:val="00D46B9D"/>
    <w:rsid w:val="00D650E8"/>
    <w:rsid w:val="00D6643F"/>
    <w:rsid w:val="00D74084"/>
    <w:rsid w:val="00D77A1F"/>
    <w:rsid w:val="00D84231"/>
    <w:rsid w:val="00D91421"/>
    <w:rsid w:val="00D94F96"/>
    <w:rsid w:val="00D97731"/>
    <w:rsid w:val="00DB0E05"/>
    <w:rsid w:val="00DC46CD"/>
    <w:rsid w:val="00DD38A2"/>
    <w:rsid w:val="00DD3C41"/>
    <w:rsid w:val="00DE1997"/>
    <w:rsid w:val="00DF0183"/>
    <w:rsid w:val="00DF2CED"/>
    <w:rsid w:val="00DF4439"/>
    <w:rsid w:val="00E13DB6"/>
    <w:rsid w:val="00E15309"/>
    <w:rsid w:val="00E15CFF"/>
    <w:rsid w:val="00E2485C"/>
    <w:rsid w:val="00E36219"/>
    <w:rsid w:val="00E40911"/>
    <w:rsid w:val="00E43FEC"/>
    <w:rsid w:val="00E5736B"/>
    <w:rsid w:val="00E7391F"/>
    <w:rsid w:val="00E7616F"/>
    <w:rsid w:val="00E83D40"/>
    <w:rsid w:val="00E85167"/>
    <w:rsid w:val="00E864B6"/>
    <w:rsid w:val="00E90C82"/>
    <w:rsid w:val="00E93BDB"/>
    <w:rsid w:val="00E97AEB"/>
    <w:rsid w:val="00EA130E"/>
    <w:rsid w:val="00EC16DB"/>
    <w:rsid w:val="00EC3401"/>
    <w:rsid w:val="00EC52BF"/>
    <w:rsid w:val="00EC565D"/>
    <w:rsid w:val="00ED13A2"/>
    <w:rsid w:val="00ED177C"/>
    <w:rsid w:val="00ED1B38"/>
    <w:rsid w:val="00EE2536"/>
    <w:rsid w:val="00EE493B"/>
    <w:rsid w:val="00EE590C"/>
    <w:rsid w:val="00EE5C2D"/>
    <w:rsid w:val="00EF329F"/>
    <w:rsid w:val="00EF3611"/>
    <w:rsid w:val="00EF450B"/>
    <w:rsid w:val="00EF6D35"/>
    <w:rsid w:val="00F014AB"/>
    <w:rsid w:val="00F0433F"/>
    <w:rsid w:val="00F12B31"/>
    <w:rsid w:val="00F2031C"/>
    <w:rsid w:val="00F2664D"/>
    <w:rsid w:val="00F26B0A"/>
    <w:rsid w:val="00F31D2F"/>
    <w:rsid w:val="00F367DE"/>
    <w:rsid w:val="00F371F8"/>
    <w:rsid w:val="00F41A53"/>
    <w:rsid w:val="00F44DB6"/>
    <w:rsid w:val="00F450D4"/>
    <w:rsid w:val="00F4793F"/>
    <w:rsid w:val="00F51609"/>
    <w:rsid w:val="00F51877"/>
    <w:rsid w:val="00F54A40"/>
    <w:rsid w:val="00F56817"/>
    <w:rsid w:val="00F60549"/>
    <w:rsid w:val="00F611BF"/>
    <w:rsid w:val="00F64E78"/>
    <w:rsid w:val="00F70649"/>
    <w:rsid w:val="00F74059"/>
    <w:rsid w:val="00F74CDC"/>
    <w:rsid w:val="00F856E1"/>
    <w:rsid w:val="00FB7212"/>
    <w:rsid w:val="00FC4F99"/>
    <w:rsid w:val="00FD53D9"/>
    <w:rsid w:val="00FE4052"/>
    <w:rsid w:val="00FF5B08"/>
    <w:rsid w:val="2E2E01DE"/>
    <w:rsid w:val="33FE3DFE"/>
    <w:rsid w:val="5F4D6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6"/>
    <w:unhideWhenUsed/>
    <w:qFormat/>
    <w:uiPriority w:val="0"/>
    <w:rPr>
      <w:rFonts w:ascii="宋体" w:hAnsi="Courier New" w:eastAsia="宋体"/>
      <w:kern w:val="0"/>
      <w:sz w:val="20"/>
      <w:szCs w:val="21"/>
    </w:rPr>
  </w:style>
  <w:style w:type="paragraph" w:styleId="3">
    <w:name w:val="Balloon Text"/>
    <w:basedOn w:val="1"/>
    <w:link w:val="12"/>
    <w:semiHidden/>
    <w:unhideWhenUsed/>
    <w:qFormat/>
    <w:uiPriority w:val="99"/>
    <w:rPr>
      <w:sz w:val="18"/>
      <w:szCs w:val="18"/>
    </w:rPr>
  </w:style>
  <w:style w:type="character" w:customStyle="1" w:styleId="6">
    <w:name w:val="纯文本 Char"/>
    <w:basedOn w:val="4"/>
    <w:link w:val="2"/>
    <w:qFormat/>
    <w:uiPriority w:val="0"/>
    <w:rPr>
      <w:rFonts w:ascii="宋体" w:hAnsi="Courier New" w:eastAsia="宋体" w:cs="Times New Roman"/>
      <w:kern w:val="0"/>
      <w:sz w:val="20"/>
      <w:szCs w:val="21"/>
    </w:rPr>
  </w:style>
  <w:style w:type="paragraph" w:styleId="7">
    <w:name w:val="List Paragraph"/>
    <w:basedOn w:val="1"/>
    <w:qFormat/>
    <w:uiPriority w:val="34"/>
    <w:pPr>
      <w:ind w:firstLine="420" w:firstLineChars="200"/>
    </w:pPr>
    <w:rPr>
      <w:rFonts w:ascii="Calibri" w:hAnsi="Calibri" w:eastAsia="宋体"/>
      <w:sz w:val="21"/>
      <w:szCs w:val="22"/>
    </w:rPr>
  </w:style>
  <w:style w:type="paragraph" w:customStyle="1" w:styleId="8">
    <w:name w:val="样式1"/>
    <w:basedOn w:val="1"/>
    <w:qFormat/>
    <w:uiPriority w:val="0"/>
    <w:rPr>
      <w:rFonts w:ascii="仿宋_GB2312"/>
      <w:sz w:val="28"/>
    </w:rPr>
  </w:style>
  <w:style w:type="character" w:customStyle="1" w:styleId="9">
    <w:name w:val="段 Char"/>
    <w:link w:val="10"/>
    <w:qFormat/>
    <w:locked/>
    <w:uiPriority w:val="0"/>
    <w:rPr>
      <w:rFonts w:ascii="宋体" w:hAnsi="宋体" w:eastAsia="宋体"/>
      <w:lang w:val="en-GB"/>
    </w:rPr>
  </w:style>
  <w:style w:type="paragraph" w:customStyle="1" w:styleId="10">
    <w:name w:val="段"/>
    <w:link w:val="9"/>
    <w:qFormat/>
    <w:uiPriority w:val="0"/>
    <w:pPr>
      <w:autoSpaceDE w:val="0"/>
      <w:autoSpaceDN w:val="0"/>
      <w:ind w:firstLine="200" w:firstLineChars="200"/>
      <w:jc w:val="both"/>
    </w:pPr>
    <w:rPr>
      <w:rFonts w:ascii="宋体" w:hAnsi="宋体" w:eastAsia="宋体" w:cstheme="minorBidi"/>
      <w:kern w:val="2"/>
      <w:sz w:val="21"/>
      <w:szCs w:val="22"/>
      <w:lang w:val="en-GB" w:eastAsia="zh-CN" w:bidi="ar-SA"/>
    </w:rPr>
  </w:style>
  <w:style w:type="paragraph" w:customStyle="1" w:styleId="11">
    <w:name w:val="章标题"/>
    <w:next w:val="10"/>
    <w:qFormat/>
    <w:uiPriority w:val="0"/>
    <w:pPr>
      <w:spacing w:beforeLines="50"/>
      <w:ind w:left="315"/>
      <w:jc w:val="both"/>
      <w:outlineLvl w:val="1"/>
    </w:pPr>
    <w:rPr>
      <w:rFonts w:ascii="黑体" w:hAnsi="Times New Roman" w:eastAsia="黑体" w:cs="Times New Roman"/>
      <w:kern w:val="0"/>
      <w:sz w:val="21"/>
      <w:szCs w:val="20"/>
      <w:lang w:val="en-US" w:eastAsia="zh-CN" w:bidi="ar-SA"/>
    </w:rPr>
  </w:style>
  <w:style w:type="character" w:customStyle="1" w:styleId="12">
    <w:name w:val="批注框文本 Char"/>
    <w:basedOn w:val="4"/>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1831</Words>
  <Characters>10441</Characters>
  <Lines>87</Lines>
  <Paragraphs>24</Paragraphs>
  <TotalTime>58</TotalTime>
  <ScaleCrop>false</ScaleCrop>
  <LinksUpToDate>false</LinksUpToDate>
  <CharactersWithSpaces>12248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2018-09-18T06:19:00Z</dcterms:created>
  <dc:creator>医政医管局,医疗与护理处,张萌</dc:creator>
  <cp:lastModifiedBy>hp</cp:lastModifiedBy>
  <dcterms:modified xsi:type="dcterms:W3CDTF">2018-09-18T07:52:00Z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