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55" w:rsidRPr="00BD0E55" w:rsidRDefault="00BD0E55" w:rsidP="00BD0E55">
      <w:pPr>
        <w:spacing w:line="480" w:lineRule="auto"/>
        <w:ind w:firstLine="397"/>
        <w:jc w:val="center"/>
        <w:rPr>
          <w:rFonts w:asciiTheme="minorEastAsia" w:hAnsiTheme="minorEastAsia" w:cs="Times New Roman"/>
          <w:b/>
          <w:sz w:val="30"/>
          <w:szCs w:val="30"/>
        </w:rPr>
      </w:pPr>
      <w:bookmarkStart w:id="0" w:name="_GoBack"/>
      <w:r w:rsidRPr="00BD0E55">
        <w:rPr>
          <w:rFonts w:asciiTheme="minorEastAsia" w:hAnsiTheme="minorEastAsia" w:cs="Times New Roman" w:hint="eastAsia"/>
          <w:b/>
          <w:sz w:val="30"/>
          <w:szCs w:val="30"/>
        </w:rPr>
        <w:t>主 要 发 展 指 标</w:t>
      </w:r>
    </w:p>
    <w:tbl>
      <w:tblPr>
        <w:tblpPr w:leftFromText="180" w:rightFromText="180" w:vertAnchor="text" w:horzAnchor="margin" w:tblpY="287"/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80"/>
        <w:gridCol w:w="5189"/>
        <w:gridCol w:w="1040"/>
        <w:gridCol w:w="1190"/>
      </w:tblGrid>
      <w:tr w:rsidR="00BD0E55" w:rsidRPr="00BD0E55" w:rsidTr="0090698C">
        <w:trPr>
          <w:trHeight w:val="20"/>
        </w:trPr>
        <w:tc>
          <w:tcPr>
            <w:tcW w:w="406" w:type="pct"/>
            <w:vAlign w:val="center"/>
          </w:tcPr>
          <w:bookmarkEnd w:id="0"/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3297" w:type="pct"/>
            <w:gridSpan w:val="2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主要指标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2020年</w:t>
            </w:r>
          </w:p>
        </w:tc>
        <w:tc>
          <w:tcPr>
            <w:tcW w:w="692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指标属性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 w:val="restar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健康指标</w:t>
            </w: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3018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婴儿死亡率（‰）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＜</w:t>
            </w:r>
            <w:r w:rsidRPr="00BD0E55">
              <w:rPr>
                <w:rFonts w:asciiTheme="minorEastAsia" w:hAnsiTheme="minorEastAsia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3018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5岁以下儿童死亡率（‰）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＜</w:t>
            </w:r>
            <w:r w:rsidRPr="00BD0E55">
              <w:rPr>
                <w:rFonts w:asciiTheme="minorEastAsia" w:hAnsiTheme="minorEastAsia" w:cs="Times New Roman"/>
                <w:sz w:val="24"/>
                <w:szCs w:val="24"/>
              </w:rPr>
              <w:t>9.5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3018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孕产妇死亡率（/10万）</w:t>
            </w: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ab/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＜</w:t>
            </w:r>
            <w:r w:rsidRPr="00BD0E55">
              <w:rPr>
                <w:rFonts w:asciiTheme="minorEastAsia" w:hAnsiTheme="minorEastAsia" w:cs="Times New Roman"/>
                <w:sz w:val="24"/>
                <w:szCs w:val="24"/>
              </w:rPr>
              <w:t>18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 w:val="restar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服务管理</w:t>
            </w: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孕产妇住院分娩率（%）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≥99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孕产妇系统管理率（%）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≥90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3岁以下儿童系统管理率（%）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≥85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5岁以下儿童生长迟缓率（%）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＜7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5岁以下儿童低体重率（%）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＜5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妇女常见病筛查率（%）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≥80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孕产妇艾滋病检测率（%）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≥95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孕产妇梅毒检测率（%）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≥95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12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艾滋病、梅毒预防母婴传播干预措施比例（%）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≥90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</w:tbl>
    <w:p w:rsidR="00BD0E55" w:rsidRPr="00BD0E55" w:rsidRDefault="00BD0E55" w:rsidP="00BD0E55">
      <w:pPr>
        <w:spacing w:line="480" w:lineRule="auto"/>
        <w:rPr>
          <w:rFonts w:asciiTheme="minorEastAsia" w:hAnsiTheme="minorEastAsia" w:cs="Times New Roman"/>
          <w:sz w:val="24"/>
          <w:szCs w:val="24"/>
        </w:rPr>
        <w:sectPr w:rsidR="00BD0E55" w:rsidRPr="00BD0E55" w:rsidSect="00A04642">
          <w:footerReference w:type="even" r:id="rId5"/>
          <w:footerReference w:type="default" r:id="rId6"/>
          <w:pgSz w:w="11906" w:h="16838" w:code="9"/>
          <w:pgMar w:top="2098" w:right="1588" w:bottom="1985" w:left="1588" w:header="851" w:footer="1588" w:gutter="0"/>
          <w:cols w:space="720"/>
          <w:docGrid w:type="linesAndChars" w:linePitch="287" w:charSpace="-2374"/>
        </w:sectPr>
      </w:pPr>
    </w:p>
    <w:tbl>
      <w:tblPr>
        <w:tblpPr w:leftFromText="180" w:rightFromText="180" w:vertAnchor="text" w:horzAnchor="margin" w:tblpXSpec="center" w:tblpY="662"/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57"/>
        <w:gridCol w:w="4943"/>
        <w:gridCol w:w="991"/>
        <w:gridCol w:w="1133"/>
      </w:tblGrid>
      <w:tr w:rsidR="00BD0E55" w:rsidRPr="00BD0E55" w:rsidTr="0090698C">
        <w:trPr>
          <w:trHeight w:val="20"/>
        </w:trPr>
        <w:tc>
          <w:tcPr>
            <w:tcW w:w="406" w:type="pct"/>
            <w:vMerge w:val="restar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出生人口素质</w:t>
            </w: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13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婚前医学检查率（%）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≥80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14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免费孕前优生健康检查目标人群覆盖率（%）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≥80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15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产前筛查率（%）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</w:t>
            </w:r>
            <w:r w:rsidRPr="00BD0E55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16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新生儿先天性甲状腺功能减低症、苯丙酮尿症筛查率（%）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</w:t>
            </w:r>
            <w:r w:rsidRPr="00BD0E55"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17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新生儿听力筛查率（%）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</w:t>
            </w:r>
            <w:r w:rsidRPr="00BD0E55">
              <w:rPr>
                <w:rFonts w:asciiTheme="minorEastAsia" w:hAnsiTheme="minorEastAsia" w:cs="Times New Roman"/>
                <w:sz w:val="24"/>
                <w:szCs w:val="24"/>
              </w:rPr>
              <w:t>70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 w:val="restar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服务网络</w:t>
            </w: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18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以盟市为单位建成标准化的妇幼健康服务机构的比例（%）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100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妇幼健康服务机构保健人员和临床人员配备达标率（%）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100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自治区、盟市级妇幼健康服务机构达到三级甲等的比例（%）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≥30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21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旗县级妇幼健康服务机构达到二级甲等的比例（%）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≥30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22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妇幼健康服务机构和二级以上综合医院设置妇产科、儿科、新生儿科（室）设置率（%）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≥80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23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基层医疗卫生机构妇幼卫生设施设备和人员配置达到建设标准率（%）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100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24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危重孕产妇和新生儿救治中心规范设置比例（%）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100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约束性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创建国家家级儿童早期发展示范基地（个数）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≥3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26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创建自治区级儿童早期发展示范基地（个数）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≥10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  <w:tr w:rsidR="00BD0E55" w:rsidRPr="00BD0E55" w:rsidTr="0090698C">
        <w:trPr>
          <w:trHeight w:val="20"/>
        </w:trPr>
        <w:tc>
          <w:tcPr>
            <w:tcW w:w="406" w:type="pct"/>
            <w:vMerge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27</w:t>
            </w:r>
          </w:p>
        </w:tc>
        <w:tc>
          <w:tcPr>
            <w:tcW w:w="3018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爱婴医院占助产机构比例（%）</w:t>
            </w:r>
          </w:p>
        </w:tc>
        <w:tc>
          <w:tcPr>
            <w:tcW w:w="605" w:type="pct"/>
            <w:vAlign w:val="center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≥30</w:t>
            </w:r>
          </w:p>
        </w:tc>
        <w:tc>
          <w:tcPr>
            <w:tcW w:w="692" w:type="pct"/>
          </w:tcPr>
          <w:p w:rsidR="00BD0E55" w:rsidRPr="00BD0E55" w:rsidRDefault="00BD0E55" w:rsidP="00BD0E55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D0E55">
              <w:rPr>
                <w:rFonts w:asciiTheme="minorEastAsia" w:hAnsiTheme="minorEastAsia" w:cs="Times New Roman" w:hint="eastAsia"/>
                <w:sz w:val="24"/>
                <w:szCs w:val="24"/>
              </w:rPr>
              <w:t>预期性</w:t>
            </w:r>
          </w:p>
        </w:tc>
      </w:tr>
    </w:tbl>
    <w:p w:rsidR="008447FE" w:rsidRDefault="008447FE"/>
    <w:sectPr w:rsidR="0084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DF" w:rsidRDefault="00BD0E55" w:rsidP="00CA1DB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66DF" w:rsidRDefault="00BD0E55" w:rsidP="00CA1DB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DF" w:rsidRDefault="00BD0E55" w:rsidP="00CA1DBC">
    <w:pPr>
      <w:pStyle w:val="a3"/>
      <w:framePr w:wrap="around" w:vAnchor="text" w:hAnchor="margin" w:xAlign="outside" w:y="1"/>
      <w:ind w:leftChars="135" w:left="283" w:rightChars="125" w:right="263"/>
      <w:jc w:val="both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8F66A9">
      <w:rPr>
        <w:rStyle w:val="a4"/>
        <w:sz w:val="28"/>
        <w:szCs w:val="28"/>
      </w:rPr>
      <w:fldChar w:fldCharType="begin"/>
    </w:r>
    <w:r w:rsidRPr="008F66A9">
      <w:rPr>
        <w:rStyle w:val="a4"/>
        <w:sz w:val="28"/>
        <w:szCs w:val="28"/>
      </w:rPr>
      <w:instrText xml:space="preserve">PAGE  </w:instrText>
    </w:r>
    <w:r w:rsidRPr="008F66A9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8F66A9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A566DF" w:rsidRDefault="00BD0E55" w:rsidP="00CA1DBC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55"/>
    <w:rsid w:val="008447FE"/>
    <w:rsid w:val="00B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D0E5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E5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D0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D0E5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E5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D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1</cp:revision>
  <dcterms:created xsi:type="dcterms:W3CDTF">2018-07-16T06:58:00Z</dcterms:created>
  <dcterms:modified xsi:type="dcterms:W3CDTF">2018-07-16T06:59:00Z</dcterms:modified>
</cp:coreProperties>
</file>