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56" w:rsidRPr="00CB615F" w:rsidRDefault="007B6756" w:rsidP="00CB615F">
      <w:pPr>
        <w:spacing w:line="660" w:lineRule="exact"/>
        <w:rPr>
          <w:rFonts w:ascii="黑体" w:eastAsia="黑体" w:hAnsi="黑体"/>
          <w:sz w:val="32"/>
          <w:szCs w:val="32"/>
        </w:rPr>
      </w:pPr>
      <w:r w:rsidRPr="00CB615F">
        <w:rPr>
          <w:rFonts w:ascii="黑体" w:eastAsia="黑体" w:hAnsi="黑体" w:hint="eastAsia"/>
          <w:sz w:val="32"/>
          <w:szCs w:val="32"/>
        </w:rPr>
        <w:t>附件6</w:t>
      </w:r>
    </w:p>
    <w:p w:rsidR="007B6756" w:rsidRPr="007B6756" w:rsidRDefault="007B6756" w:rsidP="00B93DAB">
      <w:pPr>
        <w:spacing w:line="660" w:lineRule="exact"/>
        <w:ind w:firstLineChars="200" w:firstLine="640"/>
        <w:rPr>
          <w:rFonts w:ascii="仿宋" w:eastAsia="仿宋" w:hAnsi="仿宋"/>
          <w:sz w:val="32"/>
          <w:szCs w:val="32"/>
        </w:rPr>
      </w:pPr>
    </w:p>
    <w:p w:rsidR="007B6756" w:rsidRPr="00CB615F" w:rsidRDefault="007B6756" w:rsidP="00CB615F">
      <w:pPr>
        <w:spacing w:line="660" w:lineRule="exact"/>
        <w:jc w:val="center"/>
        <w:rPr>
          <w:rFonts w:asciiTheme="majorEastAsia" w:eastAsiaTheme="majorEastAsia" w:hAnsiTheme="majorEastAsia"/>
          <w:b/>
          <w:sz w:val="44"/>
          <w:szCs w:val="32"/>
        </w:rPr>
      </w:pPr>
      <w:r w:rsidRPr="00CB615F">
        <w:rPr>
          <w:rFonts w:asciiTheme="majorEastAsia" w:eastAsiaTheme="majorEastAsia" w:hAnsiTheme="majorEastAsia" w:hint="eastAsia"/>
          <w:b/>
          <w:sz w:val="44"/>
          <w:szCs w:val="32"/>
        </w:rPr>
        <w:t>眼科医院管理规范（试行）</w:t>
      </w:r>
    </w:p>
    <w:p w:rsidR="007B6756" w:rsidRPr="007B6756" w:rsidRDefault="007B6756" w:rsidP="00B93DAB">
      <w:pPr>
        <w:spacing w:line="660" w:lineRule="exact"/>
        <w:ind w:firstLineChars="200" w:firstLine="640"/>
        <w:rPr>
          <w:rFonts w:ascii="仿宋" w:eastAsia="仿宋" w:hAnsi="仿宋"/>
          <w:sz w:val="32"/>
          <w:szCs w:val="32"/>
        </w:rPr>
      </w:pP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为规范眼科医院管理，提高眼科诊疗水平，保障眼科医疗服务质量与安全，根据《执业医师法》《医疗机构管理条例》《医院感染管理办法》《医疗质量管理办法》等法律法规，制定本规范。本规范适用于床位在20张至79张的眼科医院。</w:t>
      </w:r>
    </w:p>
    <w:p w:rsidR="007B6756" w:rsidRPr="00CB615F" w:rsidRDefault="007B6756" w:rsidP="00B93DAB">
      <w:pPr>
        <w:spacing w:line="660" w:lineRule="exact"/>
        <w:ind w:firstLineChars="200" w:firstLine="640"/>
        <w:rPr>
          <w:rFonts w:ascii="黑体" w:eastAsia="黑体" w:hAnsi="黑体"/>
          <w:sz w:val="32"/>
          <w:szCs w:val="32"/>
        </w:rPr>
      </w:pPr>
      <w:r w:rsidRPr="00CB615F">
        <w:rPr>
          <w:rFonts w:ascii="黑体" w:eastAsia="黑体" w:hAnsi="黑体" w:hint="eastAsia"/>
          <w:sz w:val="32"/>
          <w:szCs w:val="32"/>
        </w:rPr>
        <w:t>一、机构管理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（一）眼科医院应当制定并落实管理规章制度，执行国家制定或认可的技术规范和操作规程，明确工作人员岗位职责，落实各项管理制度，保障医疗质量和患者安全。</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眼科医院应当设置独立部门负责质量安全管理与控制工作，认真履行对规章制度、技术规范、操作规程的落实情况以及服务质量、安全管理进行指导检查、质量控制和内部监督的职责；对日常运行管理与业务开展过程中的风险因素进行监测、分析并实施有效干预管理的职责；落实医院感染防控、医疗废物规范处置的职责；对工作人员职业安全防护和健康管理提供指导的职责；对眼科医疗专业文书、档案和数据信息等资料的书写、保存、使用等管理进行指导和检查的职责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（三）眼科医院质量安全管理人员至少有1名具有中级及以</w:t>
      </w:r>
      <w:r w:rsidRPr="007B6756">
        <w:rPr>
          <w:rFonts w:ascii="仿宋" w:eastAsia="仿宋" w:hAnsi="仿宋" w:hint="eastAsia"/>
          <w:sz w:val="32"/>
          <w:szCs w:val="32"/>
        </w:rPr>
        <w:lastRenderedPageBreak/>
        <w:t>上专业技术职务任职资格，并具备相关专业知识和工作经验。</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（四）按照相关规定做好内部质量、安全、服务、技术、财务、治安、消防和后勤保障等方面的管理。</w:t>
      </w:r>
    </w:p>
    <w:p w:rsidR="007B6756" w:rsidRPr="00CB615F" w:rsidRDefault="007B6756" w:rsidP="00B93DAB">
      <w:pPr>
        <w:spacing w:line="660" w:lineRule="exact"/>
        <w:ind w:firstLineChars="200" w:firstLine="640"/>
        <w:rPr>
          <w:rFonts w:ascii="黑体" w:eastAsia="黑体" w:hAnsi="黑体"/>
          <w:sz w:val="32"/>
          <w:szCs w:val="32"/>
        </w:rPr>
      </w:pPr>
      <w:r w:rsidRPr="00CB615F">
        <w:rPr>
          <w:rFonts w:ascii="黑体" w:eastAsia="黑体" w:hAnsi="黑体" w:hint="eastAsia"/>
          <w:sz w:val="32"/>
          <w:szCs w:val="32"/>
        </w:rPr>
        <w:t>二、质量管理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眼科医院应当按照以下要求开展质量管理工作：</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（一）卫生专业技术人员配置符合《眼科医院基本标准（试行）》的规定。</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按照国家制定或认可的诊疗技术规范和操作规程等有关要求，建立并不断完善医疗质量管理体系，制定严格的诊疗规章制度，建立合理规范的临床诊疗流程，对医疗质量安全核心制度的落实和临床诊疗流程进行监管检查，关注重点环节及高风险因素，持续改进医疗服务质量，保障医疗安全。</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（三）参加各级卫生健康行政部门或者质控中心开展的医疗质量安全管理与控制工作。</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应当制定并落实工作人员培训计划，使医院工作人员具备与本职工作相关的专业知识及技能，知晓相关医疗卫生法律法规、规章制度和政策；建立对专业技术人员专业知识更新及专业技能维持与培养等继续教育管理的相关制度，并做好培训考核记录。</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（五）医院质量管理部门应当重点做好对新技术新业务临床应用准入、高风险诊疗技术操作授权、手术分级及授权等方面的</w:t>
      </w:r>
      <w:r w:rsidRPr="007B6756">
        <w:rPr>
          <w:rFonts w:ascii="仿宋" w:eastAsia="仿宋" w:hAnsi="仿宋" w:hint="eastAsia"/>
          <w:sz w:val="32"/>
          <w:szCs w:val="32"/>
        </w:rPr>
        <w:lastRenderedPageBreak/>
        <w:t>管理和控制。</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（六）临床医师在为眼科患者提供诊疗服务的过程中，应当根据患者病情制定合适的诊疗方案，做好</w:t>
      </w:r>
      <w:proofErr w:type="gramStart"/>
      <w:r w:rsidRPr="007B6756">
        <w:rPr>
          <w:rFonts w:ascii="仿宋" w:eastAsia="仿宋" w:hAnsi="仿宋" w:hint="eastAsia"/>
          <w:sz w:val="32"/>
          <w:szCs w:val="32"/>
        </w:rPr>
        <w:t>医</w:t>
      </w:r>
      <w:proofErr w:type="gramEnd"/>
      <w:r w:rsidRPr="007B6756">
        <w:rPr>
          <w:rFonts w:ascii="仿宋" w:eastAsia="仿宋" w:hAnsi="仿宋" w:hint="eastAsia"/>
          <w:sz w:val="32"/>
          <w:szCs w:val="32"/>
        </w:rPr>
        <w:t>患沟通及患者教育，并落实好双向转诊职责。</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（七）护士在协助医师实施患者诊疗过程中，应当密切观察患者病情变化并及时与医生沟通，严格执行查对、消毒隔离等护理核心制度和各项技术操作规范。</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（八）严格执行《抗菌药物临床应用管理办法》、《抗菌药物临床应用指导原则》等抗菌药物临床应用有关规定，科学合理使用抗菌药物。</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（九）建立医疗设备维保档案，有专人对医院的医疗设备进行日常维保校验，保障医疗设备正常运转。</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（十）设有药剂科、医学检验科、辅助检查部门及消毒供应室等科室的眼科医院，应当配备具有相应资质的卫生专业技术人员，按照国家制定或认可的相应规范开展工作，并接受医院质量管理部门的监管和督导。</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（十一）建立患者信息登记、文书管理制度，相关信息能够录入居民电子健康档案。保证信息的真实性、完整性、及时性。</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（十二）建立良好的</w:t>
      </w:r>
      <w:proofErr w:type="gramStart"/>
      <w:r w:rsidRPr="007B6756">
        <w:rPr>
          <w:rFonts w:ascii="仿宋" w:eastAsia="仿宋" w:hAnsi="仿宋" w:hint="eastAsia"/>
          <w:sz w:val="32"/>
          <w:szCs w:val="32"/>
        </w:rPr>
        <w:t>医</w:t>
      </w:r>
      <w:proofErr w:type="gramEnd"/>
      <w:r w:rsidRPr="007B6756">
        <w:rPr>
          <w:rFonts w:ascii="仿宋" w:eastAsia="仿宋" w:hAnsi="仿宋" w:hint="eastAsia"/>
          <w:sz w:val="32"/>
          <w:szCs w:val="32"/>
        </w:rPr>
        <w:t>患沟通机制，保障患者知情同意权，维护患者合法权益。</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（十三）严格按照有关规定和要求，规范使用和管理医疗设</w:t>
      </w:r>
      <w:r w:rsidRPr="007B6756">
        <w:rPr>
          <w:rFonts w:ascii="仿宋" w:eastAsia="仿宋" w:hAnsi="仿宋" w:hint="eastAsia"/>
          <w:sz w:val="32"/>
          <w:szCs w:val="32"/>
        </w:rPr>
        <w:lastRenderedPageBreak/>
        <w:t xml:space="preserve">备、医疗耗材、消毒药械和医疗用品，规范医疗废物和污水的处理。 </w:t>
      </w:r>
    </w:p>
    <w:p w:rsidR="007B6756" w:rsidRPr="00CB615F" w:rsidRDefault="007B6756" w:rsidP="00B93DAB">
      <w:pPr>
        <w:spacing w:line="660" w:lineRule="exact"/>
        <w:ind w:firstLineChars="200" w:firstLine="640"/>
        <w:rPr>
          <w:rFonts w:ascii="黑体" w:eastAsia="黑体" w:hAnsi="黑体"/>
          <w:sz w:val="32"/>
          <w:szCs w:val="32"/>
        </w:rPr>
      </w:pPr>
      <w:r w:rsidRPr="00CB615F">
        <w:rPr>
          <w:rFonts w:ascii="黑体" w:eastAsia="黑体" w:hAnsi="黑体" w:hint="eastAsia"/>
          <w:sz w:val="32"/>
          <w:szCs w:val="32"/>
        </w:rPr>
        <w:t>三、安全管理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眼科医院应当按照以下要求加强安全与医院感染防控工作：</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（一）认真执行医院感染管理有关的制度及要求，健全、完善符合本机构实际的安全与医院感染防控规章制度和工作规范并严格落实。医院感染管理部门应当至少每月对手术室、消毒供应室、治疗室、治疗</w:t>
      </w:r>
      <w:proofErr w:type="gramStart"/>
      <w:r w:rsidRPr="007B6756">
        <w:rPr>
          <w:rFonts w:ascii="仿宋" w:eastAsia="仿宋" w:hAnsi="仿宋" w:hint="eastAsia"/>
          <w:sz w:val="32"/>
          <w:szCs w:val="32"/>
        </w:rPr>
        <w:t>准备室</w:t>
      </w:r>
      <w:proofErr w:type="gramEnd"/>
      <w:r w:rsidRPr="007B6756">
        <w:rPr>
          <w:rFonts w:ascii="仿宋" w:eastAsia="仿宋" w:hAnsi="仿宋" w:hint="eastAsia"/>
          <w:sz w:val="32"/>
          <w:szCs w:val="32"/>
        </w:rPr>
        <w:t>等重点部门、关键环节进行督查、指导，并按照国家相关标准和规范，定期开展各类生物检测。</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（二）医院建筑布局应当符合无障碍要求，重点部门、重点环节建筑布局应当遵循环境卫生学和医院感染管理有关原则，符合功能流程合理和</w:t>
      </w:r>
      <w:proofErr w:type="gramStart"/>
      <w:r w:rsidRPr="007B6756">
        <w:rPr>
          <w:rFonts w:ascii="仿宋" w:eastAsia="仿宋" w:hAnsi="仿宋" w:hint="eastAsia"/>
          <w:sz w:val="32"/>
          <w:szCs w:val="32"/>
        </w:rPr>
        <w:t>洁污</w:t>
      </w:r>
      <w:proofErr w:type="gramEnd"/>
      <w:r w:rsidRPr="007B6756">
        <w:rPr>
          <w:rFonts w:ascii="仿宋" w:eastAsia="仿宋" w:hAnsi="仿宋" w:hint="eastAsia"/>
          <w:sz w:val="32"/>
          <w:szCs w:val="32"/>
        </w:rPr>
        <w:t>分开的基本要求，做到布局合理，分区明确，标示清楚；含手术室在内的各治疗区、检查区等各功能区应当符合《医院消毒卫生标准》的要求。</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（三）严格按照《传染病防治法》、《传染病信息报告管理规范》等要求，</w:t>
      </w:r>
      <w:proofErr w:type="gramStart"/>
      <w:r w:rsidRPr="007B6756">
        <w:rPr>
          <w:rFonts w:ascii="仿宋" w:eastAsia="仿宋" w:hAnsi="仿宋" w:hint="eastAsia"/>
          <w:sz w:val="32"/>
          <w:szCs w:val="32"/>
        </w:rPr>
        <w:t>向疾病</w:t>
      </w:r>
      <w:proofErr w:type="gramEnd"/>
      <w:r w:rsidRPr="007B6756">
        <w:rPr>
          <w:rFonts w:ascii="仿宋" w:eastAsia="仿宋" w:hAnsi="仿宋" w:hint="eastAsia"/>
          <w:sz w:val="32"/>
          <w:szCs w:val="32"/>
        </w:rPr>
        <w:t>预防控制机构报告传染病确诊或疑似病例，并做好传染病控制工作。发生感染性疾病的疑似暴发、聚集和流行时，应当按照《医院感染管理办法》及有关规定进行报告。严格按照分类管理原则和相关规定妥善处理医疗废弃物。</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（四）严格执行麻醉药品、精神药品和毒性药品等特殊管理药品的使用与管理规定，保障用药安全。</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lastRenderedPageBreak/>
        <w:t>（五）加强急救技能的培训，所有人员熟练掌握心肺复苏等急救技术，并定期进行培训考核。</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六）加强医务人员职业安全防护和健康管理工作，提供必要的防护用品，定期健康检查；必要时对有关人员进行免疫接种，保障医务人员的职业安全。制定医务人员职业暴露等预防和应急方案，工作人员在工作中发生被血液、体液污染的锐器刺伤等伤害时，应当立即采取相应处理措施，并及时报告医院及相关部门。</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（七）具有完善且可执行的应急预案，定期进行应急处理能力培训和演练。应急机制在遇有紧急医疗救援或突发意外事件时能够及时启动、有效实施，最大限度地保障人员安全。</w:t>
      </w:r>
    </w:p>
    <w:p w:rsidR="007B6756" w:rsidRPr="00CB615F" w:rsidRDefault="007B6756" w:rsidP="00B93DAB">
      <w:pPr>
        <w:spacing w:line="660" w:lineRule="exact"/>
        <w:ind w:firstLineChars="200" w:firstLine="640"/>
        <w:rPr>
          <w:rFonts w:ascii="黑体" w:eastAsia="黑体" w:hAnsi="黑体"/>
          <w:sz w:val="32"/>
          <w:szCs w:val="32"/>
        </w:rPr>
      </w:pPr>
      <w:r w:rsidRPr="00CB615F">
        <w:rPr>
          <w:rFonts w:ascii="黑体" w:eastAsia="黑体" w:hAnsi="黑体" w:hint="eastAsia"/>
          <w:sz w:val="32"/>
          <w:szCs w:val="32"/>
        </w:rPr>
        <w:t>四、监督与管理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（一）各级卫生健康行政部门应当加强对辖区内眼科医院的日常监督管理，卫生</w:t>
      </w:r>
      <w:proofErr w:type="gramStart"/>
      <w:r w:rsidRPr="007B6756">
        <w:rPr>
          <w:rFonts w:ascii="仿宋" w:eastAsia="仿宋" w:hAnsi="仿宋" w:hint="eastAsia"/>
          <w:sz w:val="32"/>
          <w:szCs w:val="32"/>
        </w:rPr>
        <w:t>健康监督</w:t>
      </w:r>
      <w:proofErr w:type="gramEnd"/>
      <w:r w:rsidRPr="007B6756">
        <w:rPr>
          <w:rFonts w:ascii="仿宋" w:eastAsia="仿宋" w:hAnsi="仿宋" w:hint="eastAsia"/>
          <w:sz w:val="32"/>
          <w:szCs w:val="32"/>
        </w:rPr>
        <w:t>机构每年现场监督检查不少于一次，发现问题和安全隐患时，应当采取相应措施，并责令其立即整改。</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（二）各级卫生健康行政部门履行监管督查职责时，有权采取以下措施：</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1.对医院进行现场检查，了解情况，调查取证。</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2．查阅或者复制医院医疗质量与安全管理的有关资料，采集、封存样品或相关病历等医疗文档。</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3.责令医院停止违法违规行为，并对医院违法违规行为进行处理。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lastRenderedPageBreak/>
        <w:t>（三）对于违反有关法律法规和本规范规定的，卫生健康行政部门应当视情节依法依规进行处罚；构成犯罪的，应当依法追究刑事责任。</w:t>
      </w:r>
    </w:p>
    <w:p w:rsidR="007B6756" w:rsidRPr="007B6756" w:rsidRDefault="007B6756" w:rsidP="00B93DAB">
      <w:pPr>
        <w:spacing w:line="660" w:lineRule="exact"/>
        <w:ind w:firstLineChars="200" w:firstLine="640"/>
        <w:rPr>
          <w:rFonts w:ascii="仿宋" w:eastAsia="仿宋" w:hAnsi="仿宋"/>
          <w:sz w:val="32"/>
          <w:szCs w:val="32"/>
        </w:rPr>
      </w:pPr>
      <w:bookmarkStart w:id="0" w:name="_GoBack"/>
      <w:bookmarkEnd w:id="0"/>
    </w:p>
    <w:sectPr w:rsidR="007B6756" w:rsidRPr="007B6756" w:rsidSect="007347F6">
      <w:headerReference w:type="default" r:id="rId8"/>
      <w:footerReference w:type="even" r:id="rId9"/>
      <w:footerReference w:type="default" r:id="rId10"/>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8C" w:rsidRDefault="0092458C" w:rsidP="007B6756">
      <w:r>
        <w:separator/>
      </w:r>
    </w:p>
  </w:endnote>
  <w:endnote w:type="continuationSeparator" w:id="0">
    <w:p w:rsidR="0092458C" w:rsidRDefault="0092458C" w:rsidP="007B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795721"/>
      <w:docPartObj>
        <w:docPartGallery w:val="Page Numbers (Bottom of Page)"/>
        <w:docPartUnique/>
      </w:docPartObj>
    </w:sdtPr>
    <w:sdtEndPr>
      <w:rPr>
        <w:rFonts w:asciiTheme="minorEastAsia" w:hAnsiTheme="minorEastAsia"/>
        <w:sz w:val="28"/>
      </w:rPr>
    </w:sdtEndPr>
    <w:sdtContent>
      <w:p w:rsidR="007B6756" w:rsidRPr="007B6756" w:rsidRDefault="00CB615F" w:rsidP="00CB615F">
        <w:pPr>
          <w:pStyle w:val="a4"/>
          <w:ind w:leftChars="-3" w:left="-6" w:firstLineChars="161" w:firstLine="290"/>
          <w:rPr>
            <w:rFonts w:asciiTheme="minorEastAsia" w:hAnsiTheme="minorEastAsia"/>
            <w:sz w:val="28"/>
          </w:rPr>
        </w:pPr>
        <w:r w:rsidRPr="00CB615F">
          <w:rPr>
            <w:rFonts w:hint="eastAsia"/>
          </w:rPr>
          <w:t>—</w:t>
        </w:r>
        <w:r>
          <w:t xml:space="preserve"> </w:t>
        </w:r>
        <w:r w:rsidR="007B6756" w:rsidRPr="00EB7929">
          <w:rPr>
            <w:rFonts w:asciiTheme="minorEastAsia" w:hAnsiTheme="minorEastAsia"/>
            <w:sz w:val="28"/>
          </w:rPr>
          <w:fldChar w:fldCharType="begin"/>
        </w:r>
        <w:r w:rsidR="007B6756" w:rsidRPr="00EB7929">
          <w:rPr>
            <w:rFonts w:asciiTheme="minorEastAsia" w:hAnsiTheme="minorEastAsia"/>
            <w:sz w:val="28"/>
          </w:rPr>
          <w:instrText>PAGE   \* MERGEFORMAT</w:instrText>
        </w:r>
        <w:r w:rsidR="007B6756" w:rsidRPr="00EB7929">
          <w:rPr>
            <w:rFonts w:asciiTheme="minorEastAsia" w:hAnsiTheme="minorEastAsia"/>
            <w:sz w:val="28"/>
          </w:rPr>
          <w:fldChar w:fldCharType="separate"/>
        </w:r>
        <w:r w:rsidR="007347F6">
          <w:rPr>
            <w:rFonts w:asciiTheme="minorEastAsia" w:hAnsiTheme="minorEastAsia"/>
            <w:noProof/>
            <w:sz w:val="28"/>
          </w:rPr>
          <w:t>4</w:t>
        </w:r>
        <w:r w:rsidR="007B6756" w:rsidRPr="00EB7929">
          <w:rPr>
            <w:rFonts w:asciiTheme="minorEastAsia" w:hAnsiTheme="minorEastAsia"/>
            <w:sz w:val="28"/>
          </w:rPr>
          <w:fldChar w:fldCharType="end"/>
        </w:r>
        <w:r w:rsidR="007B6756" w:rsidRPr="00EB7929">
          <w:rPr>
            <w:rFonts w:asciiTheme="minorEastAsia" w:hAnsiTheme="minorEastAsia"/>
            <w:sz w:val="16"/>
          </w:rPr>
          <w:t xml:space="preserve"> </w:t>
        </w:r>
        <w:r w:rsidR="007B6756">
          <w:rPr>
            <w:rFonts w:hint="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54940"/>
      <w:docPartObj>
        <w:docPartGallery w:val="Page Numbers (Bottom of Page)"/>
        <w:docPartUnique/>
      </w:docPartObj>
    </w:sdtPr>
    <w:sdtEndPr>
      <w:rPr>
        <w:sz w:val="28"/>
      </w:rPr>
    </w:sdtEndPr>
    <w:sdtContent>
      <w:p w:rsidR="007B6756" w:rsidRPr="00B93DAB" w:rsidRDefault="007B6756" w:rsidP="007347F6">
        <w:pPr>
          <w:pStyle w:val="a4"/>
          <w:jc w:val="center"/>
          <w:rPr>
            <w:sz w:val="28"/>
          </w:rPr>
        </w:pPr>
        <w:r w:rsidRPr="00EB7929">
          <w:rPr>
            <w:rFonts w:asciiTheme="minorEastAsia" w:hAnsiTheme="minorEastAsia"/>
            <w:sz w:val="28"/>
          </w:rPr>
          <w:fldChar w:fldCharType="begin"/>
        </w:r>
        <w:r w:rsidRPr="00EB7929">
          <w:rPr>
            <w:rFonts w:asciiTheme="minorEastAsia" w:hAnsiTheme="minorEastAsia"/>
            <w:sz w:val="28"/>
          </w:rPr>
          <w:instrText>PAGE   \* MERGEFORMAT</w:instrText>
        </w:r>
        <w:r w:rsidRPr="00EB7929">
          <w:rPr>
            <w:rFonts w:asciiTheme="minorEastAsia" w:hAnsiTheme="minorEastAsia"/>
            <w:sz w:val="28"/>
          </w:rPr>
          <w:fldChar w:fldCharType="separate"/>
        </w:r>
        <w:r w:rsidR="00D1368C" w:rsidRPr="00D1368C">
          <w:rPr>
            <w:rFonts w:asciiTheme="minorEastAsia" w:hAnsiTheme="minorEastAsia"/>
            <w:noProof/>
            <w:sz w:val="28"/>
            <w:lang w:val="zh-CN"/>
          </w:rPr>
          <w:t>6</w:t>
        </w:r>
        <w:r w:rsidRPr="00EB7929">
          <w:rPr>
            <w:rFonts w:ascii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8C" w:rsidRDefault="0092458C" w:rsidP="007B6756">
      <w:r>
        <w:separator/>
      </w:r>
    </w:p>
  </w:footnote>
  <w:footnote w:type="continuationSeparator" w:id="0">
    <w:p w:rsidR="0092458C" w:rsidRDefault="0092458C" w:rsidP="007B6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56" w:rsidRDefault="007B6756" w:rsidP="007B675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93106"/>
    <w:multiLevelType w:val="hybridMultilevel"/>
    <w:tmpl w:val="E5800584"/>
    <w:lvl w:ilvl="0" w:tplc="36B8B150">
      <w:numFmt w:val="bullet"/>
      <w:lvlText w:val=""/>
      <w:lvlJc w:val="left"/>
      <w:pPr>
        <w:ind w:left="360" w:hanging="360"/>
      </w:pPr>
      <w:rPr>
        <w:rFonts w:ascii="Wingdings" w:eastAsiaTheme="minorEastAsia" w:hAnsi="Wingdings" w:cstheme="minorBid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6712988"/>
    <w:multiLevelType w:val="hybridMultilevel"/>
    <w:tmpl w:val="AFE2266C"/>
    <w:lvl w:ilvl="0" w:tplc="525870AA">
      <w:numFmt w:val="bullet"/>
      <w:lvlText w:val="—"/>
      <w:lvlJc w:val="left"/>
      <w:pPr>
        <w:ind w:left="360" w:hanging="360"/>
      </w:pPr>
      <w:rPr>
        <w:rFonts w:ascii="宋体" w:eastAsia="宋体" w:hAnsi="宋体" w:cstheme="minorBidi"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6572DF6"/>
    <w:multiLevelType w:val="hybridMultilevel"/>
    <w:tmpl w:val="844A9436"/>
    <w:lvl w:ilvl="0" w:tplc="022461FC">
      <w:start w:val="7"/>
      <w:numFmt w:val="bullet"/>
      <w:lvlText w:val="—"/>
      <w:lvlJc w:val="left"/>
      <w:pPr>
        <w:ind w:left="1069" w:hanging="360"/>
      </w:pPr>
      <w:rPr>
        <w:rFonts w:ascii="宋体" w:eastAsia="宋体" w:hAnsi="宋体" w:cstheme="minorBidi" w:hint="eastAsia"/>
        <w:sz w:val="18"/>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DF"/>
    <w:rsid w:val="0004135C"/>
    <w:rsid w:val="000717C5"/>
    <w:rsid w:val="000F1FB8"/>
    <w:rsid w:val="0013310E"/>
    <w:rsid w:val="00147F73"/>
    <w:rsid w:val="001610F8"/>
    <w:rsid w:val="001A7858"/>
    <w:rsid w:val="001D3219"/>
    <w:rsid w:val="001D7CD5"/>
    <w:rsid w:val="001F5D05"/>
    <w:rsid w:val="0031394C"/>
    <w:rsid w:val="0042344F"/>
    <w:rsid w:val="004D26B9"/>
    <w:rsid w:val="00502954"/>
    <w:rsid w:val="00624502"/>
    <w:rsid w:val="00632762"/>
    <w:rsid w:val="006943E2"/>
    <w:rsid w:val="00720731"/>
    <w:rsid w:val="0072527D"/>
    <w:rsid w:val="007347F6"/>
    <w:rsid w:val="007B6756"/>
    <w:rsid w:val="007B7CD4"/>
    <w:rsid w:val="00804BB9"/>
    <w:rsid w:val="00837CB0"/>
    <w:rsid w:val="00876BFA"/>
    <w:rsid w:val="008A559D"/>
    <w:rsid w:val="0090328A"/>
    <w:rsid w:val="009130DF"/>
    <w:rsid w:val="0092458C"/>
    <w:rsid w:val="00976FF4"/>
    <w:rsid w:val="009C28E4"/>
    <w:rsid w:val="00A13BFD"/>
    <w:rsid w:val="00A807D6"/>
    <w:rsid w:val="00AC3F00"/>
    <w:rsid w:val="00AC5259"/>
    <w:rsid w:val="00B41A95"/>
    <w:rsid w:val="00B93DAB"/>
    <w:rsid w:val="00BD0390"/>
    <w:rsid w:val="00C14C85"/>
    <w:rsid w:val="00C30537"/>
    <w:rsid w:val="00C6204C"/>
    <w:rsid w:val="00CB615F"/>
    <w:rsid w:val="00CC087C"/>
    <w:rsid w:val="00CE3109"/>
    <w:rsid w:val="00D1368C"/>
    <w:rsid w:val="00D25B17"/>
    <w:rsid w:val="00D43689"/>
    <w:rsid w:val="00D92699"/>
    <w:rsid w:val="00D971CC"/>
    <w:rsid w:val="00D97FAF"/>
    <w:rsid w:val="00EB55CE"/>
    <w:rsid w:val="00EB5CED"/>
    <w:rsid w:val="00EB7929"/>
    <w:rsid w:val="00EC67BE"/>
    <w:rsid w:val="00F5139B"/>
    <w:rsid w:val="00FB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6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6756"/>
    <w:rPr>
      <w:sz w:val="18"/>
      <w:szCs w:val="18"/>
    </w:rPr>
  </w:style>
  <w:style w:type="paragraph" w:styleId="a4">
    <w:name w:val="footer"/>
    <w:basedOn w:val="a"/>
    <w:link w:val="Char0"/>
    <w:uiPriority w:val="99"/>
    <w:unhideWhenUsed/>
    <w:rsid w:val="007B6756"/>
    <w:pPr>
      <w:tabs>
        <w:tab w:val="center" w:pos="4153"/>
        <w:tab w:val="right" w:pos="8306"/>
      </w:tabs>
      <w:snapToGrid w:val="0"/>
      <w:jc w:val="left"/>
    </w:pPr>
    <w:rPr>
      <w:sz w:val="18"/>
      <w:szCs w:val="18"/>
    </w:rPr>
  </w:style>
  <w:style w:type="character" w:customStyle="1" w:styleId="Char0">
    <w:name w:val="页脚 Char"/>
    <w:basedOn w:val="a0"/>
    <w:link w:val="a4"/>
    <w:uiPriority w:val="99"/>
    <w:rsid w:val="007B67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6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6756"/>
    <w:rPr>
      <w:sz w:val="18"/>
      <w:szCs w:val="18"/>
    </w:rPr>
  </w:style>
  <w:style w:type="paragraph" w:styleId="a4">
    <w:name w:val="footer"/>
    <w:basedOn w:val="a"/>
    <w:link w:val="Char0"/>
    <w:uiPriority w:val="99"/>
    <w:unhideWhenUsed/>
    <w:rsid w:val="007B6756"/>
    <w:pPr>
      <w:tabs>
        <w:tab w:val="center" w:pos="4153"/>
        <w:tab w:val="right" w:pos="8306"/>
      </w:tabs>
      <w:snapToGrid w:val="0"/>
      <w:jc w:val="left"/>
    </w:pPr>
    <w:rPr>
      <w:sz w:val="18"/>
      <w:szCs w:val="18"/>
    </w:rPr>
  </w:style>
  <w:style w:type="character" w:customStyle="1" w:styleId="Char0">
    <w:name w:val="页脚 Char"/>
    <w:basedOn w:val="a0"/>
    <w:link w:val="a4"/>
    <w:uiPriority w:val="99"/>
    <w:rsid w:val="007B67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364</Words>
  <Characters>2080</Characters>
  <Application>Microsoft Office Word</Application>
  <DocSecurity>0</DocSecurity>
  <Lines>17</Lines>
  <Paragraphs>4</Paragraphs>
  <ScaleCrop>false</ScaleCrop>
  <Company>中华人民共和国卫生部</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医政医管局,医疗机构处,韩秋明</dc:creator>
  <cp:keywords/>
  <dc:description/>
  <cp:lastModifiedBy>医政医管局,医疗机构处,韩秋明</cp:lastModifiedBy>
  <cp:revision>6</cp:revision>
  <dcterms:created xsi:type="dcterms:W3CDTF">2018-06-11T02:05:00Z</dcterms:created>
  <dcterms:modified xsi:type="dcterms:W3CDTF">2018-06-11T03:31:00Z</dcterms:modified>
</cp:coreProperties>
</file>